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F09920">
      <w:pPr>
        <w:pStyle w:val="11"/>
        <w:keepNext w:val="0"/>
        <w:keepLines w:val="0"/>
        <w:pageBreakBefore w:val="0"/>
        <w:widowControl w:val="0"/>
        <w:kinsoku/>
        <w:wordWrap/>
        <w:overflowPunct/>
        <w:topLinePunct w:val="0"/>
        <w:autoSpaceDE/>
        <w:autoSpaceDN/>
        <w:bidi w:val="0"/>
        <w:adjustRightInd/>
        <w:spacing w:after="0" w:line="560" w:lineRule="exact"/>
        <w:textAlignment w:val="auto"/>
        <w:rPr>
          <w:rFonts w:hint="eastAsia" w:hAnsi="方正小标宋_GBK" w:cs="方正小标宋_GBK"/>
          <w:color w:val="auto"/>
          <w:lang w:eastAsia="zh-CN"/>
        </w:rPr>
      </w:pPr>
      <w:r>
        <w:rPr>
          <w:rFonts w:hint="eastAsia" w:hAnsi="方正小标宋_GBK" w:cs="方正小标宋_GBK"/>
          <w:color w:val="auto"/>
          <w:lang w:val="en-US" w:eastAsia="zh-CN"/>
        </w:rPr>
        <w:t>重庆市</w:t>
      </w:r>
      <w:r>
        <w:rPr>
          <w:rFonts w:hint="eastAsia" w:hAnsi="方正小标宋_GBK" w:cs="方正小标宋_GBK"/>
          <w:color w:val="auto"/>
          <w:lang w:eastAsia="zh-CN"/>
        </w:rPr>
        <w:t>江津区中心医院</w:t>
      </w:r>
    </w:p>
    <w:p w14:paraId="1DFA73DE">
      <w:pPr>
        <w:pStyle w:val="11"/>
        <w:keepNext w:val="0"/>
        <w:keepLines w:val="0"/>
        <w:pageBreakBefore w:val="0"/>
        <w:widowControl w:val="0"/>
        <w:kinsoku/>
        <w:wordWrap/>
        <w:overflowPunct/>
        <w:topLinePunct w:val="0"/>
        <w:autoSpaceDE/>
        <w:autoSpaceDN/>
        <w:bidi w:val="0"/>
        <w:adjustRightInd/>
        <w:spacing w:after="0" w:line="560" w:lineRule="exact"/>
        <w:textAlignment w:val="auto"/>
        <w:rPr>
          <w:rFonts w:hint="eastAsia" w:hAnsi="方正小标宋_GBK" w:cs="方正小标宋_GBK"/>
          <w:color w:val="auto"/>
          <w:lang w:val="en-US" w:eastAsia="zh-CN"/>
        </w:rPr>
      </w:pPr>
      <w:r>
        <w:rPr>
          <w:rFonts w:hint="eastAsia" w:hAnsi="方正小标宋_GBK" w:cs="方正小标宋_GBK"/>
          <w:color w:val="auto"/>
          <w:lang w:val="en-US" w:eastAsia="zh-CN"/>
        </w:rPr>
        <w:t>医学装备科医用耗材库房改造工程招标公告</w:t>
      </w:r>
    </w:p>
    <w:p w14:paraId="30FF41D3">
      <w:pPr>
        <w:jc w:val="center"/>
        <w:rPr>
          <w:rFonts w:hint="default" w:ascii="方正小标宋_GBK" w:hAnsi="方正小标宋_GBK" w:eastAsia="方正小标宋_GBK" w:cs="方正小标宋_GBK"/>
          <w:color w:val="auto"/>
          <w:kern w:val="2"/>
          <w:sz w:val="44"/>
          <w:szCs w:val="44"/>
          <w:lang w:val="en-US" w:eastAsia="zh-CN" w:bidi="ar-SA"/>
        </w:rPr>
      </w:pPr>
      <w:r>
        <w:rPr>
          <w:rFonts w:hint="eastAsia" w:ascii="方正小标宋_GBK" w:hAnsi="方正小标宋_GBK" w:eastAsia="方正小标宋_GBK" w:cs="方正小标宋_GBK"/>
          <w:color w:val="auto"/>
          <w:kern w:val="2"/>
          <w:sz w:val="44"/>
          <w:szCs w:val="44"/>
          <w:lang w:val="en-US" w:eastAsia="zh-CN" w:bidi="ar-SA"/>
        </w:rPr>
        <w:t>（第二次招标）</w:t>
      </w:r>
    </w:p>
    <w:p w14:paraId="41ACF6F0">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14:paraId="569A5FD7">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14:paraId="62F8F7EF">
      <w:pPr>
        <w:pStyle w:val="11"/>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医学装备科医用耗材库房改造工程</w:t>
      </w:r>
      <w:r>
        <w:rPr>
          <w:rFonts w:hint="eastAsia" w:ascii="方正仿宋_GBK" w:hAnsi="方正仿宋_GBK" w:eastAsia="方正仿宋_GBK" w:cs="方正仿宋_GBK"/>
          <w:sz w:val="32"/>
          <w:szCs w:val="32"/>
        </w:rPr>
        <w:t>，欢迎有资质有能力有信誉的单位参与投标。</w:t>
      </w:r>
    </w:p>
    <w:p w14:paraId="7AE88093">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工程概况：</w:t>
      </w:r>
    </w:p>
    <w:p w14:paraId="0EF3B47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楷体_GBK" w:cs="方正仿宋_GBK"/>
          <w:color w:val="auto"/>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（一）</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建设地点</w:t>
      </w: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重庆市江津区中心医院。</w:t>
      </w:r>
    </w:p>
    <w:p w14:paraId="76E629C9">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计划工期：</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15日历天</w:t>
      </w:r>
      <w:r>
        <w:rPr>
          <w:rFonts w:hint="eastAsia" w:ascii="方正仿宋_GBK" w:eastAsia="方正仿宋_GBK" w:cs="宋体"/>
          <w:snapToGrid w:val="0"/>
          <w:sz w:val="28"/>
          <w:lang w:eastAsia="zh-CN" w:bidi="ar-SA"/>
        </w:rPr>
        <w:t>。</w:t>
      </w:r>
    </w:p>
    <w:p w14:paraId="6E44162E">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（三）工作内容：</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工程量</w:t>
      </w:r>
      <w:r>
        <w:rPr>
          <w:rFonts w:hint="eastAsia" w:ascii="方正仿宋_GBK" w:hAnsi="方正仿宋_GBK" w:eastAsia="方正仿宋_GBK" w:cs="方正仿宋_GBK"/>
          <w:color w:val="000000" w:themeColor="text1"/>
          <w:sz w:val="32"/>
          <w:szCs w:val="32"/>
          <w14:textFill>
            <w14:solidFill>
              <w14:schemeClr w14:val="tx1"/>
            </w14:solidFill>
          </w14:textFill>
        </w:rPr>
        <w:t>清单</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相关内容</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14:paraId="273CF161">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87000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捌万柒仟元整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14:paraId="2B0F4AAA">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、投标及开标时间、地点</w:t>
      </w:r>
    </w:p>
    <w:p w14:paraId="47DE06E0">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（一）投标文件递交</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截止</w:t>
      </w:r>
      <w:r>
        <w:rPr>
          <w:rFonts w:hint="eastAsia" w:ascii="方正楷体_GBK" w:hAnsi="方正楷体_GBK" w:eastAsia="方正楷体_GBK" w:cs="方正楷体_GBK"/>
          <w:color w:val="000000" w:themeColor="text1"/>
          <w:sz w:val="32"/>
          <w:szCs w:val="32"/>
          <w14:textFill>
            <w14:solidFill>
              <w14:schemeClr w14:val="tx1"/>
            </w14:solidFill>
          </w14:textFill>
        </w:rPr>
        <w:t>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4</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23</w:t>
      </w:r>
      <w:r>
        <w:rPr>
          <w:rFonts w:hint="eastAsia" w:ascii="方正仿宋_GBK" w:hAnsi="方正仿宋_GBK" w:eastAsia="方正仿宋_GBK" w:cs="方正仿宋_GBK"/>
          <w:color w:val="auto"/>
          <w:sz w:val="32"/>
          <w:szCs w:val="32"/>
        </w:rPr>
        <w:t>日14:55；</w:t>
      </w:r>
    </w:p>
    <w:p w14:paraId="1EA3FD5F">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放疗中心二楼</w:t>
      </w:r>
      <w:r>
        <w:rPr>
          <w:rFonts w:hint="eastAsia" w:ascii="方正仿宋_GBK" w:hAnsi="方正仿宋_GBK" w:eastAsia="方正仿宋_GBK" w:cs="方正仿宋_GBK"/>
          <w:color w:val="auto"/>
          <w:sz w:val="32"/>
          <w:szCs w:val="32"/>
        </w:rPr>
        <w:t>会议室；</w:t>
      </w:r>
      <w:bookmarkStart w:id="0" w:name="_GoBack"/>
      <w:bookmarkEnd w:id="0"/>
    </w:p>
    <w:p w14:paraId="229337F2">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4</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23</w:t>
      </w:r>
      <w:r>
        <w:rPr>
          <w:rFonts w:hint="eastAsia" w:ascii="方正仿宋_GBK" w:hAnsi="方正仿宋_GBK" w:eastAsia="方正仿宋_GBK" w:cs="方正仿宋_GBK"/>
          <w:color w:val="auto"/>
          <w:sz w:val="32"/>
          <w:szCs w:val="32"/>
        </w:rPr>
        <w:t>日15:00；</w:t>
      </w:r>
    </w:p>
    <w:p w14:paraId="2922BE4F">
      <w:pPr>
        <w:keepNext w:val="0"/>
        <w:keepLines w:val="0"/>
        <w:pageBreakBefore w:val="0"/>
        <w:widowControl w:val="0"/>
        <w:tabs>
          <w:tab w:val="left" w:pos="692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FF"/>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放疗中心二楼</w:t>
      </w:r>
      <w:r>
        <w:rPr>
          <w:rFonts w:hint="eastAsia" w:ascii="方正仿宋_GBK" w:hAnsi="方正仿宋_GBK" w:eastAsia="方正仿宋_GBK" w:cs="方正仿宋_GBK"/>
          <w:color w:val="000000" w:themeColor="text1"/>
          <w:sz w:val="32"/>
          <w:szCs w:val="32"/>
          <w14:textFill>
            <w14:solidFill>
              <w14:schemeClr w14:val="tx1"/>
            </w14:solidFill>
          </w14:textFill>
        </w:rPr>
        <w:t>会议室。</w:t>
      </w:r>
    </w:p>
    <w:p w14:paraId="3B8DFB68">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四</w:t>
      </w:r>
      <w:r>
        <w:rPr>
          <w:rFonts w:hint="eastAsia" w:ascii="方正黑体_GBK" w:hAnsi="方正黑体_GBK" w:eastAsia="方正黑体_GBK" w:cs="方正黑体_GBK"/>
          <w:color w:val="000000" w:themeColor="text1"/>
          <w:sz w:val="32"/>
          <w:szCs w:val="32"/>
          <w14:textFill>
            <w14:solidFill>
              <w14:schemeClr w14:val="tx1"/>
            </w14:solidFill>
          </w14:textFill>
        </w:rPr>
        <w:t>、投标须知</w:t>
      </w:r>
    </w:p>
    <w:p w14:paraId="3416C8F9">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14:paraId="161261AE">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FF"/>
          <w:sz w:val="32"/>
          <w:szCs w:val="32"/>
          <w:lang w:val="en-US" w:eastAsia="zh-CN"/>
        </w:rPr>
        <w:t>建筑工程施工总承包三级及以上资质</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标文件中需提供此证明。</w:t>
      </w:r>
    </w:p>
    <w:p w14:paraId="52529F2D">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p>
    <w:p w14:paraId="2C41737A">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14:paraId="6D6AB57A">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总报价表（格式附后）不能手写，需加盖单位公章。</w:t>
      </w:r>
    </w:p>
    <w:p w14:paraId="5E249EEF">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14:paraId="785CCB68">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14:paraId="733C66E2">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活动的，还应提交法定代表人授权委托书（格式附后）。</w:t>
      </w:r>
    </w:p>
    <w:p w14:paraId="6663633B">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14:paraId="2DA10C5E">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14:paraId="3646B7DE">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14:paraId="34E7CA88">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14:paraId="6821E450">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14:paraId="18A027EB">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14:paraId="5A3F21F1">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最高限价的；</w:t>
      </w:r>
    </w:p>
    <w:p w14:paraId="1DC220CD">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14:paraId="4032F84C">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14:paraId="70B2B5B8">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14:paraId="6BD73D16">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14:paraId="58438DDF">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14:paraId="028C51B6">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14:paraId="0D9EAD50">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w:t>
      </w:r>
      <w:r>
        <w:rPr>
          <w:rFonts w:hint="eastAsia" w:ascii="方正仿宋_GBK" w:hAnsi="方正仿宋_GBK" w:eastAsia="方正仿宋_GBK" w:cs="方正仿宋_GBK"/>
          <w:color w:val="000000"/>
          <w:sz w:val="32"/>
          <w:szCs w:val="32"/>
          <w:lang w:val="en-US" w:eastAsia="zh-CN"/>
        </w:rPr>
        <w:t>施工</w:t>
      </w:r>
      <w:r>
        <w:rPr>
          <w:rFonts w:hint="eastAsia" w:ascii="方正仿宋_GBK" w:hAnsi="方正仿宋_GBK" w:eastAsia="方正仿宋_GBK" w:cs="方正仿宋_GBK"/>
          <w:color w:val="000000"/>
          <w:sz w:val="32"/>
          <w:szCs w:val="32"/>
        </w:rPr>
        <w:t>费、</w:t>
      </w:r>
      <w:r>
        <w:rPr>
          <w:rFonts w:hint="eastAsia" w:ascii="方正仿宋_GBK" w:hAnsi="方正仿宋_GBK" w:eastAsia="方正仿宋_GBK" w:cs="方正仿宋_GBK"/>
          <w:color w:val="000000"/>
          <w:sz w:val="32"/>
          <w:szCs w:val="32"/>
          <w:lang w:val="en-US" w:eastAsia="zh-CN"/>
        </w:rPr>
        <w:t>规费、措施费、</w:t>
      </w:r>
      <w:r>
        <w:rPr>
          <w:rFonts w:hint="eastAsia" w:ascii="方正仿宋_GBK" w:hAnsi="方正仿宋_GBK" w:eastAsia="方正仿宋_GBK" w:cs="方正仿宋_GBK"/>
          <w:color w:val="000000"/>
          <w:sz w:val="32"/>
          <w:szCs w:val="32"/>
        </w:rPr>
        <w:t>税务等一切费用。</w:t>
      </w:r>
    </w:p>
    <w:p w14:paraId="541FA249">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6、投标人需前往现场进行实地考查了解咨询详情，若未去一律视为已考察。</w:t>
      </w:r>
    </w:p>
    <w:p w14:paraId="44ED4FC6">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五</w:t>
      </w:r>
      <w:r>
        <w:rPr>
          <w:rFonts w:hint="eastAsia" w:ascii="方正黑体_GBK" w:hAnsi="方正黑体_GBK" w:eastAsia="方正黑体_GBK" w:cs="方正黑体_GBK"/>
          <w:color w:val="000000" w:themeColor="text1"/>
          <w:sz w:val="32"/>
          <w:szCs w:val="32"/>
          <w14:textFill>
            <w14:solidFill>
              <w14:schemeClr w14:val="tx1"/>
            </w14:solidFill>
          </w14:textFill>
        </w:rPr>
        <w:t>、中标人确定办法</w:t>
      </w:r>
    </w:p>
    <w:p w14:paraId="7521E1B4">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（一）采取最低价评标法确定成交。即以满足招标需求的最低报价成交；</w:t>
      </w:r>
      <w:r>
        <w:rPr>
          <w:rFonts w:hint="eastAsia" w:ascii="方正仿宋_GBK" w:hAnsi="方正仿宋_GBK" w:eastAsia="方正仿宋_GBK" w:cs="方正仿宋_GBK"/>
          <w:color w:val="000000" w:themeColor="text1"/>
          <w:sz w:val="32"/>
          <w:szCs w:val="32"/>
          <w14:textFill>
            <w14:solidFill>
              <w14:schemeClr w14:val="tx1"/>
            </w14:solidFill>
          </w14:textFill>
        </w:rPr>
        <w:t>如果出现两个及以上相同的最低报价，则由</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招标人择优选取中标人；投标报价以大写金额为准。</w:t>
      </w:r>
    </w:p>
    <w:p w14:paraId="28632818">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（二）中标人因不可抗拒力或者自身原因不能履行合同的，第二中标候选人可顺延为中标人，以此类推到第三中标候选人。招标人也可重新组织招标。</w:t>
      </w:r>
    </w:p>
    <w:p w14:paraId="253D8A03">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b w:val="0"/>
          <w:bCs/>
          <w:color w:val="auto"/>
          <w:sz w:val="32"/>
          <w:szCs w:val="32"/>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（三） </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若仅两家单位参与投标，仍采用最低价中标方式评标；若不足两家单位参与投标，则本次招标流标。</w:t>
      </w:r>
    </w:p>
    <w:p w14:paraId="0DAF4566">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lang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六、合同签订</w:t>
      </w:r>
    </w:p>
    <w:p w14:paraId="6FA420E3">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中标单位必须在中标通知书发出后15个工作日内，与发包人签订合同。</w:t>
      </w:r>
    </w:p>
    <w:p w14:paraId="5C45C500">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七</w:t>
      </w:r>
      <w:r>
        <w:rPr>
          <w:rFonts w:hint="eastAsia" w:ascii="方正黑体_GBK" w:hAnsi="方正黑体_GBK" w:eastAsia="方正黑体_GBK" w:cs="方正黑体_GBK"/>
          <w:color w:val="000000" w:themeColor="text1"/>
          <w:sz w:val="32"/>
          <w:szCs w:val="32"/>
          <w14:textFill>
            <w14:solidFill>
              <w14:schemeClr w14:val="tx1"/>
            </w14:solidFill>
          </w14:textFill>
        </w:rPr>
        <w:t>、投标人虚假投标、使用虚假材料、恶意方式质疑和不履约等行为的处理细则：</w:t>
      </w:r>
    </w:p>
    <w:p w14:paraId="08E44C1D">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单位将不再采取任何补救措施和通过任何方式寻求投标文件以外的任何文件使其无效投标变更为有效投标）。</w:t>
      </w:r>
    </w:p>
    <w:p w14:paraId="16341A2D">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w:t>
      </w:r>
      <w:r>
        <w:rPr>
          <w:rFonts w:hint="eastAsia" w:ascii="方正仿宋_GBK" w:hAnsi="方正仿宋_GBK" w:eastAsia="方正仿宋_GBK" w:cs="方正仿宋_GBK"/>
          <w:color w:val="000000" w:themeColor="text1"/>
          <w:sz w:val="32"/>
          <w:szCs w:val="32"/>
          <w14:textFill>
            <w14:solidFill>
              <w14:schemeClr w14:val="tx1"/>
            </w14:solidFill>
          </w14:textFill>
        </w:rPr>
        <w:t>将向有关部门通报。</w:t>
      </w:r>
    </w:p>
    <w:p w14:paraId="7744F754">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结果公示期内，以书面形式向</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单位提出质疑。行使质疑权时，必须坚持“谁主张谁举证”，遵守“实事求是”和“谨慎性”原则，承担使用虚假材料或恶意方式质疑的法律责任。</w:t>
      </w:r>
    </w:p>
    <w:p w14:paraId="7FDBA9BC">
      <w:pPr>
        <w:pStyle w:val="2"/>
        <w:ind w:firstLine="640" w:firstLineChars="200"/>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四</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投标人应自觉遵守法律法规，不进行低价恶意竞争，维护市场的公平竞争环境。</w:t>
      </w:r>
    </w:p>
    <w:p w14:paraId="7DE4C427">
      <w:pPr>
        <w:pStyle w:val="2"/>
        <w:ind w:firstLine="640" w:firstLineChars="200"/>
        <w:rPr>
          <w:rFonts w:hint="eastAsia"/>
          <w:lang w:val="en-US" w:eastAsia="zh-CN"/>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五</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中标人不履行与招标人订立的合同的，应当对招标人的损失承担赔偿责任，并取消其二年至五年参加医院招标的项目的投标资格并予以公告。因不可抗力不能履行合同的，不适用此条规定。</w:t>
      </w:r>
    </w:p>
    <w:p w14:paraId="74D37D56">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八</w:t>
      </w:r>
      <w:r>
        <w:rPr>
          <w:rFonts w:hint="eastAsia" w:ascii="方正黑体_GBK" w:hAnsi="方正黑体_GBK" w:eastAsia="方正黑体_GBK" w:cs="方正黑体_GBK"/>
          <w:color w:val="000000" w:themeColor="text1"/>
          <w:sz w:val="32"/>
          <w:szCs w:val="32"/>
          <w14:textFill>
            <w14:solidFill>
              <w14:schemeClr w14:val="tx1"/>
            </w14:solidFill>
          </w14:textFill>
        </w:rPr>
        <w:t>、质量保证及文明施工</w:t>
      </w:r>
    </w:p>
    <w:p w14:paraId="47473D47">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保证</w:t>
      </w:r>
    </w:p>
    <w:p w14:paraId="58A043C0">
      <w:pPr>
        <w:pStyle w:val="8"/>
        <w:keepNext w:val="0"/>
        <w:keepLines w:val="0"/>
        <w:pageBreakBefore w:val="0"/>
        <w:widowControl w:val="0"/>
        <w:kinsoku/>
        <w:wordWrap/>
        <w:overflowPunct/>
        <w:topLinePunct w:val="0"/>
        <w:autoSpaceDE/>
        <w:autoSpaceDN/>
        <w:bidi w:val="0"/>
        <w:adjustRightInd/>
        <w:snapToGrid w:val="0"/>
        <w:spacing w:line="560" w:lineRule="exact"/>
        <w:ind w:firstLine="627" w:firstLineChars="196"/>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达到国家现行有关施工质量验收规范要求并达到合格标准。</w:t>
      </w:r>
    </w:p>
    <w:p w14:paraId="07049D7F">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投标单位应明确承诺：</w:t>
      </w:r>
      <w:r>
        <w:rPr>
          <w:rFonts w:hint="eastAsia" w:ascii="方正仿宋_GBK" w:hAnsi="方正仿宋_GBK" w:eastAsia="方正仿宋_GBK" w:cs="方正仿宋_GBK"/>
          <w:color w:val="0000FF"/>
          <w:kern w:val="2"/>
          <w:sz w:val="32"/>
          <w:szCs w:val="32"/>
          <w:lang w:val="en-US" w:eastAsia="zh-CN" w:bidi="ar-SA"/>
        </w:rPr>
        <w:t>质量保证期不低于2年</w:t>
      </w:r>
      <w:r>
        <w:rPr>
          <w:rFonts w:hint="eastAsia" w:ascii="方正仿宋_GBK" w:hAnsi="方正仿宋_GBK" w:eastAsia="方正仿宋_GBK" w:cs="方正仿宋_GBK"/>
          <w:color w:val="000000"/>
          <w:kern w:val="2"/>
          <w:sz w:val="32"/>
          <w:szCs w:val="32"/>
          <w:lang w:val="en-US" w:eastAsia="zh-CN" w:bidi="ar-SA"/>
        </w:rPr>
        <w:t>，所用材料符合国家标准。</w:t>
      </w:r>
    </w:p>
    <w:p w14:paraId="08716718">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14:paraId="2727663B">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14:paraId="421CB51E">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九</w:t>
      </w:r>
      <w:r>
        <w:rPr>
          <w:rFonts w:hint="eastAsia" w:ascii="方正黑体_GBK" w:hAnsi="方正黑体_GBK" w:eastAsia="方正黑体_GBK" w:cs="方正黑体_GBK"/>
          <w:color w:val="000000" w:themeColor="text1"/>
          <w:sz w:val="32"/>
          <w:szCs w:val="32"/>
          <w14:textFill>
            <w14:solidFill>
              <w14:schemeClr w14:val="tx1"/>
            </w14:solidFill>
          </w14:textFill>
        </w:rPr>
        <w:t>、</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结算</w:t>
      </w:r>
      <w:r>
        <w:rPr>
          <w:rFonts w:hint="eastAsia" w:ascii="方正黑体_GBK" w:hAnsi="方正黑体_GBK" w:eastAsia="方正黑体_GBK" w:cs="方正黑体_GBK"/>
          <w:color w:val="000000" w:themeColor="text1"/>
          <w:sz w:val="32"/>
          <w:szCs w:val="32"/>
          <w14:textFill>
            <w14:solidFill>
              <w14:schemeClr w14:val="tx1"/>
            </w14:solidFill>
          </w14:textFill>
        </w:rPr>
        <w:t>方式</w:t>
      </w:r>
    </w:p>
    <w:p w14:paraId="7C5CF2C0">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采用清单计价，固定综合单价。结算综合单价以</w:t>
      </w:r>
      <w:r>
        <w:rPr>
          <w:rFonts w:hint="eastAsia" w:ascii="方正仿宋_GBK" w:hAnsi="方正仿宋_GBK" w:eastAsia="方正仿宋_GBK" w:cs="方正仿宋_GBK"/>
          <w:color w:val="000000"/>
          <w:sz w:val="32"/>
          <w:szCs w:val="32"/>
          <w:lang w:val="en-US" w:eastAsia="zh-CN"/>
        </w:rPr>
        <w:t>承包</w:t>
      </w:r>
      <w:r>
        <w:rPr>
          <w:rFonts w:hint="eastAsia" w:ascii="方正仿宋_GBK" w:hAnsi="方正仿宋_GBK" w:eastAsia="方正仿宋_GBK" w:cs="方正仿宋_GBK"/>
          <w:color w:val="000000"/>
          <w:sz w:val="32"/>
          <w:szCs w:val="32"/>
          <w:lang w:eastAsia="zh-CN"/>
        </w:rPr>
        <w:t>人</w:t>
      </w:r>
      <w:r>
        <w:rPr>
          <w:rFonts w:hint="eastAsia" w:ascii="方正仿宋_GBK" w:hAnsi="方正仿宋_GBK" w:eastAsia="方正仿宋_GBK" w:cs="方正仿宋_GBK"/>
          <w:color w:val="000000"/>
          <w:sz w:val="32"/>
          <w:szCs w:val="32"/>
          <w:lang w:val="en-US" w:eastAsia="zh-CN"/>
        </w:rPr>
        <w:t>投标</w:t>
      </w:r>
      <w:r>
        <w:rPr>
          <w:rFonts w:hint="eastAsia" w:ascii="方正仿宋_GBK" w:hAnsi="方正仿宋_GBK" w:eastAsia="方正仿宋_GBK" w:cs="方正仿宋_GBK"/>
          <w:color w:val="000000"/>
          <w:sz w:val="32"/>
          <w:szCs w:val="32"/>
          <w:lang w:eastAsia="zh-CN"/>
        </w:rPr>
        <w:t>的综合单价计算，工程量按实际完成合格工程量计算。</w:t>
      </w:r>
    </w:p>
    <w:p w14:paraId="3EAACBED">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结算总价=∑已完工合格分部分项工程量清单结算价+分部分项工程量清单新增或变更等引起的增（减）子项结算价+税金。</w:t>
      </w:r>
    </w:p>
    <w:p w14:paraId="7C68F4CD">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十</w:t>
      </w:r>
      <w:r>
        <w:rPr>
          <w:rFonts w:hint="eastAsia" w:ascii="方正黑体_GBK" w:hAnsi="方正黑体_GBK" w:eastAsia="方正黑体_GBK" w:cs="方正黑体_GBK"/>
          <w:color w:val="000000" w:themeColor="text1"/>
          <w:sz w:val="32"/>
          <w:szCs w:val="32"/>
          <w14:textFill>
            <w14:solidFill>
              <w14:schemeClr w14:val="tx1"/>
            </w14:solidFill>
          </w14:textFill>
        </w:rPr>
        <w:t>、验收和付款方式</w:t>
      </w:r>
    </w:p>
    <w:p w14:paraId="79F52C78">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（一）验收方式：</w:t>
      </w:r>
      <w:r>
        <w:rPr>
          <w:rFonts w:hint="eastAsia" w:ascii="方正仿宋_GBK" w:hAnsi="方正仿宋_GBK" w:eastAsia="方正仿宋_GBK" w:cs="方正仿宋_GBK"/>
          <w:color w:val="000000"/>
          <w:kern w:val="0"/>
          <w:sz w:val="32"/>
          <w:szCs w:val="32"/>
        </w:rPr>
        <w:t>现场验收，若不符合甲方要求，可拒收。</w:t>
      </w:r>
    </w:p>
    <w:p w14:paraId="346B0B1F">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二</w:t>
      </w:r>
      <w:r>
        <w:rPr>
          <w:rFonts w:hint="eastAsia" w:ascii="方正楷体_GBK" w:hAnsi="方正楷体_GBK" w:eastAsia="方正楷体_GBK" w:cs="方正楷体_GBK"/>
          <w:color w:val="000000" w:themeColor="text1"/>
          <w:sz w:val="32"/>
          <w:szCs w:val="32"/>
          <w14:textFill>
            <w14:solidFill>
              <w14:schemeClr w14:val="tx1"/>
            </w14:solidFill>
          </w14:textFill>
        </w:rPr>
        <w:t>）付款：</w:t>
      </w:r>
    </w:p>
    <w:p w14:paraId="6EAFD217">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完成服务并经甲方验收合格后30日内支付结算总价的97%，</w:t>
      </w:r>
      <w:r>
        <w:rPr>
          <w:rFonts w:hint="eastAsia" w:ascii="方正仿宋_GBK" w:hAnsi="方正仿宋_GBK" w:eastAsia="方正仿宋_GBK" w:cs="方正仿宋_GBK"/>
          <w:color w:val="000000"/>
          <w:sz w:val="32"/>
          <w:szCs w:val="32"/>
        </w:rPr>
        <w:t>质保期满后无质量问题30日内无息付清余款。</w:t>
      </w:r>
    </w:p>
    <w:p w14:paraId="1C02E66B">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一</w:t>
      </w:r>
      <w:r>
        <w:rPr>
          <w:rFonts w:hint="eastAsia" w:ascii="方正黑体_GBK" w:hAnsi="方正黑体_GBK" w:eastAsia="方正黑体_GBK" w:cs="方正黑体_GBK"/>
          <w:color w:val="000000" w:themeColor="text1"/>
          <w:sz w:val="32"/>
          <w:szCs w:val="32"/>
          <w14:textFill>
            <w14:solidFill>
              <w14:schemeClr w14:val="tx1"/>
            </w14:solidFill>
          </w14:textFill>
        </w:rPr>
        <w:t>、联系方式</w:t>
      </w:r>
    </w:p>
    <w:p w14:paraId="4487D2FD">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唐</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14:paraId="4D978088">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14:paraId="24AA1DEA">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14:paraId="792D0272">
      <w:pPr>
        <w:pStyle w:val="12"/>
        <w:pageBreakBefore w:val="0"/>
        <w:widowControl w:val="0"/>
        <w:kinsoku/>
        <w:overflowPunct/>
        <w:topLinePunct w:val="0"/>
        <w:bidi w:val="0"/>
        <w:spacing w:line="560" w:lineRule="exact"/>
        <w:textAlignment w:val="auto"/>
        <w:rPr>
          <w:rFonts w:ascii="宋体" w:hAnsi="宋体"/>
          <w:sz w:val="24"/>
          <w:szCs w:val="24"/>
        </w:rPr>
      </w:pPr>
    </w:p>
    <w:p w14:paraId="08127058">
      <w:pPr>
        <w:pStyle w:val="12"/>
        <w:pageBreakBefore w:val="0"/>
        <w:widowControl w:val="0"/>
        <w:kinsoku/>
        <w:overflowPunct/>
        <w:topLinePunct w:val="0"/>
        <w:bidi w:val="0"/>
        <w:spacing w:line="560" w:lineRule="exact"/>
        <w:textAlignment w:val="auto"/>
        <w:rPr>
          <w:rFonts w:ascii="宋体" w:hAnsi="宋体"/>
          <w:sz w:val="24"/>
          <w:szCs w:val="24"/>
        </w:rPr>
      </w:pPr>
    </w:p>
    <w:p w14:paraId="400DA65A">
      <w:pPr>
        <w:pStyle w:val="12"/>
        <w:pageBreakBefore w:val="0"/>
        <w:widowControl w:val="0"/>
        <w:kinsoku/>
        <w:overflowPunct/>
        <w:topLinePunct w:val="0"/>
        <w:bidi w:val="0"/>
        <w:spacing w:line="560" w:lineRule="exact"/>
        <w:ind w:left="0" w:leftChars="0" w:firstLine="0" w:firstLineChars="0"/>
        <w:textAlignment w:val="auto"/>
        <w:rPr>
          <w:rFonts w:ascii="宋体" w:hAnsi="宋体"/>
          <w:sz w:val="24"/>
          <w:szCs w:val="24"/>
        </w:rPr>
      </w:pPr>
    </w:p>
    <w:p w14:paraId="7798DF8C">
      <w:pPr>
        <w:pStyle w:val="12"/>
        <w:pageBreakBefore w:val="0"/>
        <w:widowControl w:val="0"/>
        <w:kinsoku/>
        <w:overflowPunct/>
        <w:topLinePunct w:val="0"/>
        <w:bidi w:val="0"/>
        <w:spacing w:line="560" w:lineRule="exact"/>
        <w:ind w:left="0" w:leftChars="0" w:firstLine="0" w:firstLineChars="0"/>
        <w:textAlignment w:val="auto"/>
        <w:rPr>
          <w:rFonts w:ascii="宋体" w:hAnsi="宋体"/>
          <w:sz w:val="24"/>
          <w:szCs w:val="24"/>
        </w:rPr>
      </w:pPr>
    </w:p>
    <w:p w14:paraId="0B412FFB">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lang w:eastAsia="zh-CN"/>
        </w:rPr>
      </w:pPr>
    </w:p>
    <w:p w14:paraId="48B64A57">
      <w:pPr>
        <w:pStyle w:val="2"/>
        <w:rPr>
          <w:rFonts w:hint="eastAsia"/>
          <w:lang w:eastAsia="zh-CN"/>
        </w:rPr>
      </w:pPr>
    </w:p>
    <w:p w14:paraId="24FC1D77">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lang w:eastAsia="zh-CN"/>
        </w:rPr>
      </w:pPr>
    </w:p>
    <w:p w14:paraId="7A22BC53">
      <w:pP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br w:type="page"/>
      </w:r>
    </w:p>
    <w:p w14:paraId="74B569B3">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14:paraId="1E51F028">
      <w:pPr>
        <w:pageBreakBefore w:val="0"/>
        <w:widowControl w:val="0"/>
        <w:kinsoku/>
        <w:overflowPunct/>
        <w:topLinePunct w:val="0"/>
        <w:bidi w:val="0"/>
        <w:snapToGrid w:val="0"/>
        <w:spacing w:line="560" w:lineRule="exact"/>
        <w:ind w:firstLine="560" w:firstLineChars="200"/>
        <w:jc w:val="center"/>
        <w:textAlignment w:val="auto"/>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4"/>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14:paraId="224FE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14:paraId="1905130D">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w:t>
            </w:r>
            <w:r>
              <w:rPr>
                <w:rFonts w:hint="eastAsia" w:ascii="方正仿宋_GBK" w:hAnsi="方正仿宋_GBK" w:eastAsia="方正仿宋_GBK" w:cs="方正仿宋_GBK"/>
                <w:sz w:val="32"/>
                <w:szCs w:val="32"/>
                <w:lang w:val="en-US" w:eastAsia="zh-CN"/>
              </w:rPr>
              <w:t>重庆市江津区</w:t>
            </w:r>
            <w:r>
              <w:rPr>
                <w:rFonts w:hint="eastAsia" w:ascii="方正仿宋_GBK" w:hAnsi="方正仿宋_GBK" w:eastAsia="方正仿宋_GBK" w:cs="方正仿宋_GBK"/>
                <w:sz w:val="32"/>
                <w:szCs w:val="32"/>
              </w:rPr>
              <w:t>中心医院</w:t>
            </w:r>
            <w:r>
              <w:rPr>
                <w:rFonts w:hint="eastAsia" w:ascii="方正仿宋_GBK" w:hAnsi="方正仿宋_GBK" w:eastAsia="方正仿宋_GBK" w:cs="方正仿宋_GBK"/>
                <w:sz w:val="32"/>
                <w:szCs w:val="32"/>
                <w:lang w:val="en-US" w:eastAsia="zh-CN"/>
              </w:rPr>
              <w:t>医学装备科医用耗材库房改造工程</w:t>
            </w:r>
          </w:p>
        </w:tc>
      </w:tr>
      <w:tr w14:paraId="057F6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14:paraId="3D05AB9C">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14:paraId="03CE7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14:paraId="27C707B2">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14:paraId="28CAA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14:paraId="57990864">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14:paraId="7FAEA968">
      <w:pPr>
        <w:pageBreakBefore w:val="0"/>
        <w:widowControl w:val="0"/>
        <w:kinsoku/>
        <w:overflowPunct/>
        <w:topLinePunct w:val="0"/>
        <w:bidi w:val="0"/>
        <w:spacing w:line="560" w:lineRule="exac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14:paraId="5DBF5C37">
      <w:pPr>
        <w:pStyle w:val="12"/>
        <w:pageBreakBefore w:val="0"/>
        <w:widowControl w:val="0"/>
        <w:kinsoku/>
        <w:overflowPunct/>
        <w:topLinePunct w:val="0"/>
        <w:bidi w:val="0"/>
        <w:spacing w:line="560" w:lineRule="exact"/>
        <w:ind w:left="0" w:leftChars="0" w:firstLine="0" w:firstLineChars="0"/>
        <w:textAlignment w:val="auto"/>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14:paraId="0139230B">
      <w:pPr>
        <w:pageBreakBefore w:val="0"/>
        <w:widowControl w:val="0"/>
        <w:kinsoku/>
        <w:overflowPunct/>
        <w:topLinePunct w:val="0"/>
        <w:bidi w:val="0"/>
        <w:snapToGrid w:val="0"/>
        <w:spacing w:line="560" w:lineRule="exact"/>
        <w:textAlignment w:val="auto"/>
        <w:rPr>
          <w:rFonts w:ascii="宋体" w:hAnsi="宋体"/>
          <w:sz w:val="24"/>
          <w:szCs w:val="24"/>
        </w:rPr>
      </w:pPr>
    </w:p>
    <w:p w14:paraId="3A395682">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14:paraId="51640C68">
      <w:pPr>
        <w:pStyle w:val="2"/>
        <w:rPr>
          <w:rFonts w:ascii="宋体" w:hAnsi="宋体"/>
          <w:sz w:val="24"/>
          <w:szCs w:val="24"/>
        </w:rPr>
      </w:pPr>
    </w:p>
    <w:p w14:paraId="77C5751B">
      <w:pPr>
        <w:rPr>
          <w:rFonts w:ascii="宋体" w:hAnsi="宋体"/>
          <w:sz w:val="24"/>
          <w:szCs w:val="24"/>
        </w:rPr>
      </w:pPr>
    </w:p>
    <w:p w14:paraId="61325843">
      <w:pPr>
        <w:pStyle w:val="2"/>
        <w:rPr>
          <w:rFonts w:ascii="宋体" w:hAnsi="宋体"/>
          <w:sz w:val="24"/>
          <w:szCs w:val="24"/>
        </w:rPr>
      </w:pPr>
    </w:p>
    <w:p w14:paraId="2F05DF96">
      <w:pPr>
        <w:rPr>
          <w:rFonts w:ascii="宋体" w:hAnsi="宋体"/>
          <w:sz w:val="24"/>
          <w:szCs w:val="24"/>
        </w:rPr>
      </w:pPr>
    </w:p>
    <w:p w14:paraId="35D2ED07">
      <w:pPr>
        <w:pStyle w:val="2"/>
      </w:pPr>
    </w:p>
    <w:p w14:paraId="1DA65675">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14:paraId="3BCEDF88">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14:paraId="047F07A1"/>
    <w:p w14:paraId="5437249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14:paraId="2A7E8AAB">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14:paraId="3B546CB1">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14:paraId="0F8BE802">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14:paraId="0D436BB4">
      <w:pPr>
        <w:pageBreakBefore w:val="0"/>
        <w:widowControl w:val="0"/>
        <w:tabs>
          <w:tab w:val="left" w:pos="2520"/>
          <w:tab w:val="left" w:pos="3836"/>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14:paraId="31C3696C">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14:paraId="0CF8156C">
      <w:pPr>
        <w:pageBreakBefore w:val="0"/>
        <w:widowControl w:val="0"/>
        <w:tabs>
          <w:tab w:val="left" w:pos="1580"/>
          <w:tab w:val="left" w:pos="2710"/>
          <w:tab w:val="left" w:pos="4840"/>
          <w:tab w:val="left" w:pos="6300"/>
        </w:tabs>
        <w:kinsoku/>
        <w:overflowPunct/>
        <w:topLinePunct w:val="0"/>
        <w:autoSpaceDE w:val="0"/>
        <w:autoSpaceDN w:val="0"/>
        <w:bidi w:val="0"/>
        <w:spacing w:line="560" w:lineRule="exact"/>
        <w:ind w:firstLine="595" w:firstLineChars="186"/>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14:paraId="1F8A4824">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14:paraId="59CC9B99">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14:paraId="024420DD">
      <w:pPr>
        <w:pageBreakBefore w:val="0"/>
        <w:widowControl w:val="0"/>
        <w:tabs>
          <w:tab w:val="left" w:pos="6485"/>
        </w:tabs>
        <w:kinsoku/>
        <w:overflowPunct/>
        <w:topLinePunct w:val="0"/>
        <w:autoSpaceDE w:val="0"/>
        <w:autoSpaceDN w:val="0"/>
        <w:bidi w:val="0"/>
        <w:spacing w:line="560" w:lineRule="exact"/>
        <w:ind w:firstLine="2080" w:firstLineChars="65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14:paraId="6AF03838">
      <w:pPr>
        <w:pageBreakBefore w:val="0"/>
        <w:widowControl w:val="0"/>
        <w:tabs>
          <w:tab w:val="left" w:pos="3975"/>
          <w:tab w:val="left" w:pos="5460"/>
          <w:tab w:val="left" w:pos="6400"/>
        </w:tabs>
        <w:kinsoku/>
        <w:overflowPunct/>
        <w:topLinePunct w:val="0"/>
        <w:autoSpaceDE w:val="0"/>
        <w:autoSpaceDN w:val="0"/>
        <w:bidi w:val="0"/>
        <w:spacing w:line="560" w:lineRule="exact"/>
        <w:ind w:firstLine="3360" w:firstLineChars="1050"/>
        <w:jc w:val="both"/>
        <w:textAlignment w:val="auto"/>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14:paraId="5F877EC5">
      <w:pPr>
        <w:pageBreakBefore w:val="0"/>
        <w:widowControl w:val="0"/>
        <w:kinsoku/>
        <w:overflowPunct/>
        <w:topLinePunct w:val="0"/>
        <w:bidi w:val="0"/>
        <w:spacing w:line="560" w:lineRule="exact"/>
        <w:ind w:right="560"/>
        <w:jc w:val="center"/>
        <w:textAlignment w:val="auto"/>
        <w:rPr>
          <w:rFonts w:ascii="方正仿宋_GBK" w:hAnsi="方正仿宋_GBK" w:eastAsia="方正仿宋_GBK" w:cs="方正仿宋_GBK"/>
          <w:b/>
          <w:sz w:val="32"/>
          <w:szCs w:val="32"/>
        </w:rPr>
      </w:pPr>
    </w:p>
    <w:p w14:paraId="2135100F">
      <w:pPr>
        <w:pStyle w:val="2"/>
        <w:rPr>
          <w:rFonts w:ascii="方正仿宋_GBK" w:hAnsi="方正仿宋_GBK" w:eastAsia="方正仿宋_GBK" w:cs="方正仿宋_GBK"/>
          <w:b/>
          <w:sz w:val="32"/>
          <w:szCs w:val="32"/>
        </w:rPr>
      </w:pPr>
    </w:p>
    <w:p w14:paraId="1D44D23E">
      <w:pPr>
        <w:pStyle w:val="2"/>
      </w:pPr>
    </w:p>
    <w:p w14:paraId="7D4630C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p>
    <w:p w14:paraId="2CBD8F8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p>
    <w:p w14:paraId="54F445D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p>
    <w:p w14:paraId="108352E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p>
    <w:p w14:paraId="621AF29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p>
    <w:p w14:paraId="3EBE22A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p>
    <w:p w14:paraId="6368EFC5">
      <w:pPr>
        <w:keepNext w:val="0"/>
        <w:keepLines w:val="0"/>
        <w:pageBreakBefore w:val="0"/>
        <w:widowControl w:val="0"/>
        <w:kinsoku/>
        <w:wordWrap/>
        <w:overflowPunct/>
        <w:topLinePunct w:val="0"/>
        <w:autoSpaceDE/>
        <w:autoSpaceDN/>
        <w:bidi w:val="0"/>
        <w:adjustRightInd/>
        <w:snapToGrid/>
        <w:spacing w:line="560" w:lineRule="exact"/>
        <w:ind w:right="0"/>
        <w:jc w:val="both"/>
        <w:textAlignment w:val="auto"/>
        <w:rPr>
          <w:rFonts w:hint="eastAsia" w:ascii="方正黑体_GBK" w:hAnsi="方正黑体_GBK" w:eastAsia="方正黑体_GBK" w:cs="方正黑体_GBK"/>
          <w:b w:val="0"/>
          <w:bCs/>
          <w:sz w:val="32"/>
          <w:szCs w:val="32"/>
        </w:rPr>
      </w:pPr>
    </w:p>
    <w:p w14:paraId="3FACAFD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p>
    <w:p w14:paraId="3F0138C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14:paraId="21FD1061">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lang w:eastAsia="zh-CN"/>
        </w:rPr>
        <w:t>招标</w:t>
      </w:r>
      <w:r>
        <w:rPr>
          <w:rFonts w:hint="eastAsia" w:ascii="方正仿宋_GBK" w:hAnsi="方正仿宋_GBK" w:eastAsia="方正仿宋_GBK" w:cs="方正仿宋_GBK"/>
          <w:sz w:val="32"/>
          <w:szCs w:val="32"/>
        </w:rPr>
        <w:t>活动。授权代理人在本次</w:t>
      </w:r>
      <w:r>
        <w:rPr>
          <w:rFonts w:hint="eastAsia" w:ascii="方正仿宋_GBK" w:hAnsi="方正仿宋_GBK" w:eastAsia="方正仿宋_GBK" w:cs="方正仿宋_GBK"/>
          <w:sz w:val="32"/>
          <w:szCs w:val="32"/>
          <w:lang w:eastAsia="zh-CN"/>
        </w:rPr>
        <w:t>招标</w:t>
      </w:r>
      <w:r>
        <w:rPr>
          <w:rFonts w:hint="eastAsia" w:ascii="方正仿宋_GBK" w:hAnsi="方正仿宋_GBK" w:eastAsia="方正仿宋_GBK" w:cs="方正仿宋_GBK"/>
          <w:sz w:val="32"/>
          <w:szCs w:val="32"/>
        </w:rPr>
        <w:t>过程中所签署的一切文件和处理与之有关的一切事务，我均予以承认。</w:t>
      </w:r>
    </w:p>
    <w:p w14:paraId="40041DDA">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14:paraId="0BA6643C">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14:paraId="35CB5634">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14:paraId="6A1B529F">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14:paraId="751BE4EB">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14:paraId="174DBAE7">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14:paraId="416E4B74">
      <w:pPr>
        <w:pageBreakBefore w:val="0"/>
        <w:widowControl w:val="0"/>
        <w:kinsoku/>
        <w:overflowPunct/>
        <w:topLinePunct w:val="0"/>
        <w:bidi w:val="0"/>
        <w:spacing w:line="560" w:lineRule="exact"/>
        <w:textAlignment w:val="auto"/>
      </w:pPr>
    </w:p>
    <w:tbl>
      <w:tblPr>
        <w:tblStyle w:val="13"/>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14:paraId="605CE23B">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14:paraId="437CC9BD">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14:paraId="61F3AB02">
            <w:pPr>
              <w:pageBreakBefore w:val="0"/>
              <w:widowControl w:val="0"/>
              <w:kinsoku/>
              <w:overflowPunct/>
              <w:topLinePunct w:val="0"/>
              <w:bidi w:val="0"/>
              <w:spacing w:line="560" w:lineRule="exact"/>
              <w:textAlignment w:val="auto"/>
              <w:rPr>
                <w:rFonts w:ascii="宋体" w:hAnsi="宋体"/>
                <w:sz w:val="24"/>
                <w:szCs w:val="24"/>
              </w:rPr>
            </w:pPr>
          </w:p>
          <w:p w14:paraId="2C6DAF07">
            <w:pPr>
              <w:pageBreakBefore w:val="0"/>
              <w:widowControl w:val="0"/>
              <w:kinsoku/>
              <w:overflowPunct/>
              <w:topLinePunct w:val="0"/>
              <w:bidi w:val="0"/>
              <w:spacing w:line="560" w:lineRule="exact"/>
              <w:textAlignment w:val="auto"/>
              <w:rPr>
                <w:rFonts w:ascii="宋体" w:hAnsi="宋体"/>
                <w:sz w:val="24"/>
                <w:szCs w:val="24"/>
              </w:rPr>
            </w:pPr>
          </w:p>
          <w:p w14:paraId="6F62E07F">
            <w:pPr>
              <w:pageBreakBefore w:val="0"/>
              <w:widowControl w:val="0"/>
              <w:kinsoku/>
              <w:overflowPunct/>
              <w:topLinePunct w:val="0"/>
              <w:bidi w:val="0"/>
              <w:spacing w:line="560" w:lineRule="exact"/>
              <w:textAlignment w:val="auto"/>
              <w:rPr>
                <w:rFonts w:ascii="宋体" w:hAnsi="宋体"/>
                <w:sz w:val="24"/>
                <w:szCs w:val="24"/>
              </w:rPr>
            </w:pPr>
          </w:p>
          <w:p w14:paraId="5EF7AF9A">
            <w:pPr>
              <w:pageBreakBefore w:val="0"/>
              <w:widowControl w:val="0"/>
              <w:kinsoku/>
              <w:overflowPunct/>
              <w:topLinePunct w:val="0"/>
              <w:bidi w:val="0"/>
              <w:spacing w:line="560" w:lineRule="exact"/>
              <w:textAlignment w:val="auto"/>
              <w:rPr>
                <w:rFonts w:ascii="宋体" w:hAnsi="宋体"/>
                <w:sz w:val="24"/>
                <w:szCs w:val="24"/>
              </w:rPr>
            </w:pPr>
          </w:p>
        </w:tc>
      </w:tr>
    </w:tbl>
    <w:tbl>
      <w:tblPr>
        <w:tblStyle w:val="13"/>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14:paraId="04E0D54D">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14:paraId="07E307D1">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14:paraId="53344EA1">
            <w:pPr>
              <w:pageBreakBefore w:val="0"/>
              <w:widowControl w:val="0"/>
              <w:kinsoku/>
              <w:overflowPunct/>
              <w:topLinePunct w:val="0"/>
              <w:bidi w:val="0"/>
              <w:spacing w:line="560" w:lineRule="exact"/>
              <w:textAlignment w:val="auto"/>
              <w:rPr>
                <w:rFonts w:ascii="宋体" w:hAnsi="宋体"/>
                <w:sz w:val="24"/>
                <w:szCs w:val="24"/>
              </w:rPr>
            </w:pPr>
          </w:p>
          <w:p w14:paraId="761C013B">
            <w:pPr>
              <w:pageBreakBefore w:val="0"/>
              <w:widowControl w:val="0"/>
              <w:kinsoku/>
              <w:overflowPunct/>
              <w:topLinePunct w:val="0"/>
              <w:bidi w:val="0"/>
              <w:spacing w:line="560" w:lineRule="exact"/>
              <w:textAlignment w:val="auto"/>
              <w:rPr>
                <w:rFonts w:ascii="宋体" w:hAnsi="宋体"/>
                <w:sz w:val="24"/>
                <w:szCs w:val="24"/>
              </w:rPr>
            </w:pPr>
          </w:p>
          <w:p w14:paraId="6E8CB441">
            <w:pPr>
              <w:pageBreakBefore w:val="0"/>
              <w:widowControl w:val="0"/>
              <w:kinsoku/>
              <w:overflowPunct/>
              <w:topLinePunct w:val="0"/>
              <w:bidi w:val="0"/>
              <w:spacing w:line="560" w:lineRule="exact"/>
              <w:textAlignment w:val="auto"/>
              <w:rPr>
                <w:rFonts w:ascii="宋体" w:hAnsi="宋体"/>
                <w:sz w:val="24"/>
                <w:szCs w:val="24"/>
              </w:rPr>
            </w:pPr>
          </w:p>
          <w:p w14:paraId="66444659">
            <w:pPr>
              <w:pageBreakBefore w:val="0"/>
              <w:widowControl w:val="0"/>
              <w:kinsoku/>
              <w:overflowPunct/>
              <w:topLinePunct w:val="0"/>
              <w:bidi w:val="0"/>
              <w:spacing w:line="560" w:lineRule="exact"/>
              <w:textAlignment w:val="auto"/>
              <w:rPr>
                <w:rFonts w:ascii="宋体" w:hAnsi="宋体"/>
                <w:sz w:val="24"/>
                <w:szCs w:val="24"/>
              </w:rPr>
            </w:pPr>
          </w:p>
        </w:tc>
      </w:tr>
    </w:tbl>
    <w:p w14:paraId="2C17D37C">
      <w:pPr>
        <w:pageBreakBefore w:val="0"/>
        <w:widowControl w:val="0"/>
        <w:kinsoku/>
        <w:overflowPunct/>
        <w:topLinePunct w:val="0"/>
        <w:bidi w:val="0"/>
        <w:spacing w:line="480" w:lineRule="exact"/>
        <w:textAlignment w:val="auto"/>
      </w:pP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547CDB0-A7BF-4927-9CB8-40389ED14897}"/>
  </w:font>
  <w:font w:name="Arial">
    <w:panose1 w:val="020B0604020202020204"/>
    <w:charset w:val="01"/>
    <w:family w:val="swiss"/>
    <w:pitch w:val="default"/>
    <w:sig w:usb0="E0002EFF" w:usb1="C000785B" w:usb2="00000009" w:usb3="00000000" w:csb0="400001FF" w:csb1="FFFF0000"/>
    <w:embedRegular r:id="rId2" w:fontKey="{01357D38-0964-4898-89C1-FCE9BD23B22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227538B9-E622-4BDC-9770-1C194023A085}"/>
  </w:font>
  <w:font w:name="Symbol">
    <w:panose1 w:val="05050102010706020507"/>
    <w:charset w:val="02"/>
    <w:family w:val="roman"/>
    <w:pitch w:val="default"/>
    <w:sig w:usb0="00000000" w:usb1="00000000" w:usb2="00000000" w:usb3="00000000" w:csb0="80000000" w:csb1="00000000"/>
    <w:embedRegular r:id="rId4" w:fontKey="{332ED86B-E122-40C2-BA26-9F3A2419398F}"/>
  </w:font>
  <w:font w:name="Calibri">
    <w:panose1 w:val="020F0502020204030204"/>
    <w:charset w:val="00"/>
    <w:family w:val="swiss"/>
    <w:pitch w:val="default"/>
    <w:sig w:usb0="E4002EFF" w:usb1="C000247B" w:usb2="00000009" w:usb3="00000000" w:csb0="200001FF" w:csb1="00000000"/>
    <w:embedRegular r:id="rId5" w:fontKey="{E519B6DD-4D30-44F7-A332-07BFED662D94}"/>
  </w:font>
  <w:font w:name="方正小标宋_GBK">
    <w:panose1 w:val="03000509000000000000"/>
    <w:charset w:val="86"/>
    <w:family w:val="script"/>
    <w:pitch w:val="default"/>
    <w:sig w:usb0="00000001" w:usb1="080E0000" w:usb2="00000000" w:usb3="00000000" w:csb0="00040000" w:csb1="00000000"/>
    <w:embedRegular r:id="rId6" w:fontKey="{14661BFB-EFAE-4D1A-8F64-C6CD9C8726AF}"/>
  </w:font>
  <w:font w:name="方正仿宋_GBK">
    <w:panose1 w:val="03000509000000000000"/>
    <w:charset w:val="86"/>
    <w:family w:val="script"/>
    <w:pitch w:val="default"/>
    <w:sig w:usb0="00000001" w:usb1="080E0000" w:usb2="00000000" w:usb3="00000000" w:csb0="00040000" w:csb1="00000000"/>
    <w:embedRegular r:id="rId7" w:fontKey="{5196763A-2A6F-41EF-B3D2-C2294C3A7B7F}"/>
  </w:font>
  <w:font w:name="方正黑体_GBK">
    <w:panose1 w:val="03000509000000000000"/>
    <w:charset w:val="86"/>
    <w:family w:val="auto"/>
    <w:pitch w:val="default"/>
    <w:sig w:usb0="00000001" w:usb1="080E0000" w:usb2="00000000" w:usb3="00000000" w:csb0="00040000" w:csb1="00000000"/>
    <w:embedRegular r:id="rId8" w:fontKey="{EDCD0C36-E6D4-44C3-8961-5368FB210DE0}"/>
  </w:font>
  <w:font w:name="方正楷体_GBK">
    <w:panose1 w:val="03000509000000000000"/>
    <w:charset w:val="86"/>
    <w:family w:val="auto"/>
    <w:pitch w:val="default"/>
    <w:sig w:usb0="00000001" w:usb1="080E0000" w:usb2="00000000" w:usb3="00000000" w:csb0="00040000" w:csb1="00000000"/>
    <w:embedRegular r:id="rId9" w:fontKey="{7705E907-C25E-4F96-A577-FB38AE4A4A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D5C49">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E85557">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3E85557">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8E38E8"/>
    <w:multiLevelType w:val="singleLevel"/>
    <w:tmpl w:val="418E38E8"/>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xOWQ0ZTUwNGYwYmU2Y2ZiYzhiYjMxYTBlODZjMWYifQ=="/>
  </w:docVars>
  <w:rsids>
    <w:rsidRoot w:val="03332EB3"/>
    <w:rsid w:val="00011E80"/>
    <w:rsid w:val="00665268"/>
    <w:rsid w:val="00D0142F"/>
    <w:rsid w:val="00FE5428"/>
    <w:rsid w:val="02A163DC"/>
    <w:rsid w:val="03332EB3"/>
    <w:rsid w:val="03E37E33"/>
    <w:rsid w:val="03FF6DF9"/>
    <w:rsid w:val="05945C3A"/>
    <w:rsid w:val="05D15B9D"/>
    <w:rsid w:val="0610233B"/>
    <w:rsid w:val="06D74AC1"/>
    <w:rsid w:val="06F129E8"/>
    <w:rsid w:val="07500F14"/>
    <w:rsid w:val="07F53357"/>
    <w:rsid w:val="08AE463F"/>
    <w:rsid w:val="08EE34C4"/>
    <w:rsid w:val="09DC68E6"/>
    <w:rsid w:val="0AD60CA4"/>
    <w:rsid w:val="0C2318B1"/>
    <w:rsid w:val="0CC54246"/>
    <w:rsid w:val="0E7268E2"/>
    <w:rsid w:val="0F2E5FF4"/>
    <w:rsid w:val="10095C41"/>
    <w:rsid w:val="1091497C"/>
    <w:rsid w:val="11993735"/>
    <w:rsid w:val="1450409E"/>
    <w:rsid w:val="1545661B"/>
    <w:rsid w:val="18540606"/>
    <w:rsid w:val="18577EAB"/>
    <w:rsid w:val="18B56925"/>
    <w:rsid w:val="18C13709"/>
    <w:rsid w:val="18CE005B"/>
    <w:rsid w:val="191F5BC5"/>
    <w:rsid w:val="1A2B24FB"/>
    <w:rsid w:val="1B7A0209"/>
    <w:rsid w:val="1C4B1BED"/>
    <w:rsid w:val="1CBA09E0"/>
    <w:rsid w:val="1CBB4424"/>
    <w:rsid w:val="1EE06A35"/>
    <w:rsid w:val="1EE54A1C"/>
    <w:rsid w:val="1F537BE3"/>
    <w:rsid w:val="1F673DBB"/>
    <w:rsid w:val="21257BAF"/>
    <w:rsid w:val="21960612"/>
    <w:rsid w:val="22626F9A"/>
    <w:rsid w:val="230A3B0F"/>
    <w:rsid w:val="24516BE1"/>
    <w:rsid w:val="256C742F"/>
    <w:rsid w:val="27CA6F34"/>
    <w:rsid w:val="27E37A44"/>
    <w:rsid w:val="27E87326"/>
    <w:rsid w:val="28C40FEC"/>
    <w:rsid w:val="297E4E1A"/>
    <w:rsid w:val="298224D3"/>
    <w:rsid w:val="298A1DCB"/>
    <w:rsid w:val="299C661E"/>
    <w:rsid w:val="29DA0EE3"/>
    <w:rsid w:val="2BAD2389"/>
    <w:rsid w:val="2E162CCE"/>
    <w:rsid w:val="2E58772F"/>
    <w:rsid w:val="30EA240B"/>
    <w:rsid w:val="31390FE4"/>
    <w:rsid w:val="320E32D0"/>
    <w:rsid w:val="34096C85"/>
    <w:rsid w:val="34677F57"/>
    <w:rsid w:val="36303843"/>
    <w:rsid w:val="36E84CE9"/>
    <w:rsid w:val="39D3282F"/>
    <w:rsid w:val="3AD35451"/>
    <w:rsid w:val="3C191852"/>
    <w:rsid w:val="3CE237B8"/>
    <w:rsid w:val="3DA87B2D"/>
    <w:rsid w:val="3F616DF0"/>
    <w:rsid w:val="40BF76D7"/>
    <w:rsid w:val="42860788"/>
    <w:rsid w:val="42B350D5"/>
    <w:rsid w:val="43F4232E"/>
    <w:rsid w:val="484E1E1A"/>
    <w:rsid w:val="49A14359"/>
    <w:rsid w:val="49E90EF8"/>
    <w:rsid w:val="4B8A77D8"/>
    <w:rsid w:val="4BA4739C"/>
    <w:rsid w:val="4BCE66ED"/>
    <w:rsid w:val="4C0040D9"/>
    <w:rsid w:val="4D382B66"/>
    <w:rsid w:val="4D5F6288"/>
    <w:rsid w:val="4F5E0F7B"/>
    <w:rsid w:val="501E7837"/>
    <w:rsid w:val="5149050B"/>
    <w:rsid w:val="52A2385F"/>
    <w:rsid w:val="52D73128"/>
    <w:rsid w:val="543519FA"/>
    <w:rsid w:val="54E72A1A"/>
    <w:rsid w:val="56252678"/>
    <w:rsid w:val="56AA29EF"/>
    <w:rsid w:val="58692C7C"/>
    <w:rsid w:val="588F19E9"/>
    <w:rsid w:val="58B76826"/>
    <w:rsid w:val="5A3C02BD"/>
    <w:rsid w:val="5AC14CC9"/>
    <w:rsid w:val="5CCE423B"/>
    <w:rsid w:val="5EE01F7F"/>
    <w:rsid w:val="5F4F24CB"/>
    <w:rsid w:val="60012BC1"/>
    <w:rsid w:val="61924E8A"/>
    <w:rsid w:val="63124CDC"/>
    <w:rsid w:val="631D7976"/>
    <w:rsid w:val="635A7EAA"/>
    <w:rsid w:val="64456F89"/>
    <w:rsid w:val="649A666F"/>
    <w:rsid w:val="652C3B8A"/>
    <w:rsid w:val="66B568B9"/>
    <w:rsid w:val="67E13AB8"/>
    <w:rsid w:val="68924A06"/>
    <w:rsid w:val="68CA264C"/>
    <w:rsid w:val="6A0A06FD"/>
    <w:rsid w:val="6AAD39E3"/>
    <w:rsid w:val="6B634488"/>
    <w:rsid w:val="6B953E2D"/>
    <w:rsid w:val="6C287598"/>
    <w:rsid w:val="6C7C2AE3"/>
    <w:rsid w:val="6D1E1C67"/>
    <w:rsid w:val="6DF65370"/>
    <w:rsid w:val="6F330095"/>
    <w:rsid w:val="6F34510F"/>
    <w:rsid w:val="7004069D"/>
    <w:rsid w:val="7016107E"/>
    <w:rsid w:val="70D65141"/>
    <w:rsid w:val="7157226A"/>
    <w:rsid w:val="71B1340F"/>
    <w:rsid w:val="71E65719"/>
    <w:rsid w:val="72BF3F35"/>
    <w:rsid w:val="74CC55F1"/>
    <w:rsid w:val="75662627"/>
    <w:rsid w:val="758E2041"/>
    <w:rsid w:val="75ED18FB"/>
    <w:rsid w:val="76E06DC0"/>
    <w:rsid w:val="78AE3721"/>
    <w:rsid w:val="79C14725"/>
    <w:rsid w:val="7A784C94"/>
    <w:rsid w:val="7B7001DE"/>
    <w:rsid w:val="7BAA4F23"/>
    <w:rsid w:val="7BDD5DCA"/>
    <w:rsid w:val="7D8A4D92"/>
    <w:rsid w:val="7D953D7C"/>
    <w:rsid w:val="7E7B3435"/>
    <w:rsid w:val="7EB069CB"/>
    <w:rsid w:val="7EE46A42"/>
    <w:rsid w:val="7F217965"/>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qFormat/>
    <w:uiPriority w:val="0"/>
    <w:pPr>
      <w:keepNext/>
      <w:keepLines/>
      <w:spacing w:before="260" w:after="260" w:line="413" w:lineRule="auto"/>
      <w:outlineLvl w:val="1"/>
    </w:pPr>
    <w:rPr>
      <w:rFonts w:ascii="Arial" w:hAnsi="Arial" w:eastAsia="黑体"/>
      <w:b/>
      <w:sz w:val="32"/>
    </w:rPr>
  </w:style>
  <w:style w:type="paragraph" w:styleId="2">
    <w:name w:val="heading 3"/>
    <w:basedOn w:val="1"/>
    <w:next w:val="1"/>
    <w:qFormat/>
    <w:uiPriority w:val="99"/>
    <w:pPr>
      <w:keepNext/>
      <w:keepLines/>
      <w:spacing w:line="413" w:lineRule="auto"/>
      <w:outlineLvl w:val="2"/>
    </w:pPr>
    <w:rPr>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style>
  <w:style w:type="paragraph" w:styleId="5">
    <w:name w:val="Body Text"/>
    <w:basedOn w:val="1"/>
    <w:next w:val="1"/>
    <w:unhideWhenUsed/>
    <w:qFormat/>
    <w:uiPriority w:val="99"/>
    <w:pPr>
      <w:spacing w:after="120"/>
    </w:pPr>
  </w:style>
  <w:style w:type="paragraph" w:styleId="6">
    <w:name w:val="Body Text Indent"/>
    <w:basedOn w:val="1"/>
    <w:next w:val="7"/>
    <w:qFormat/>
    <w:uiPriority w:val="0"/>
    <w:pPr>
      <w:spacing w:line="700" w:lineRule="exact"/>
      <w:ind w:left="960"/>
    </w:pPr>
    <w:rPr>
      <w:sz w:val="44"/>
    </w:rPr>
  </w:style>
  <w:style w:type="paragraph" w:styleId="7">
    <w:name w:val="envelope return"/>
    <w:basedOn w:val="1"/>
    <w:qFormat/>
    <w:uiPriority w:val="0"/>
    <w:pPr>
      <w:snapToGrid w:val="0"/>
    </w:pPr>
    <w:rPr>
      <w:rFonts w:ascii="Arial" w:hAnsi="Arial"/>
    </w:rPr>
  </w:style>
  <w:style w:type="paragraph" w:styleId="8">
    <w:name w:val="Plain Text"/>
    <w:basedOn w:val="1"/>
    <w:next w:val="1"/>
    <w:qFormat/>
    <w:uiPriority w:val="0"/>
    <w:pPr>
      <w:widowControl w:val="0"/>
      <w:jc w:val="both"/>
    </w:pPr>
    <w:rPr>
      <w:rFonts w:ascii="宋体" w:eastAsia="宋体" w:cs="Times New Roman"/>
      <w:kern w:val="2"/>
      <w:sz w:val="21"/>
      <w:lang w:val="en-US" w:eastAsia="zh-CN" w:bidi="ar-SA"/>
    </w:rPr>
  </w:style>
  <w:style w:type="paragraph" w:styleId="9">
    <w:name w:val="footer"/>
    <w:basedOn w:val="1"/>
    <w:link w:val="20"/>
    <w:qFormat/>
    <w:uiPriority w:val="0"/>
    <w:pPr>
      <w:tabs>
        <w:tab w:val="center" w:pos="4153"/>
        <w:tab w:val="right" w:pos="8306"/>
      </w:tabs>
      <w:snapToGrid w:val="0"/>
      <w:jc w:val="left"/>
    </w:pPr>
    <w:rPr>
      <w:sz w:val="18"/>
      <w:szCs w:val="18"/>
    </w:rPr>
  </w:style>
  <w:style w:type="paragraph" w:styleId="10">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5"/>
    <w:next w:val="1"/>
    <w:qFormat/>
    <w:uiPriority w:val="0"/>
    <w:pPr>
      <w:spacing w:line="560" w:lineRule="exact"/>
      <w:jc w:val="center"/>
    </w:pPr>
    <w:rPr>
      <w:rFonts w:ascii="方正小标宋_GBK" w:eastAsia="方正小标宋_GBK"/>
      <w:color w:val="000000"/>
      <w:sz w:val="44"/>
      <w:szCs w:val="44"/>
    </w:rPr>
  </w:style>
  <w:style w:type="paragraph" w:styleId="12">
    <w:name w:val="Body Text First Indent 2"/>
    <w:basedOn w:val="6"/>
    <w:qFormat/>
    <w:uiPriority w:val="0"/>
    <w:pPr>
      <w:spacing w:line="240" w:lineRule="auto"/>
      <w:ind w:left="420" w:leftChars="200" w:firstLine="420"/>
    </w:pPr>
    <w:rPr>
      <w:sz w:val="21"/>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Hyperlink"/>
    <w:basedOn w:val="15"/>
    <w:qFormat/>
    <w:uiPriority w:val="0"/>
    <w:rPr>
      <w:color w:val="0000FF"/>
      <w:u w:val="single"/>
    </w:rPr>
  </w:style>
  <w:style w:type="character" w:styleId="17">
    <w:name w:val="annotation reference"/>
    <w:qFormat/>
    <w:uiPriority w:val="0"/>
    <w:rPr>
      <w:sz w:val="21"/>
      <w:szCs w:val="21"/>
    </w:rPr>
  </w:style>
  <w:style w:type="paragraph" w:customStyle="1" w:styleId="18">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character" w:customStyle="1" w:styleId="19">
    <w:name w:val="页眉 Char"/>
    <w:basedOn w:val="15"/>
    <w:link w:val="10"/>
    <w:qFormat/>
    <w:uiPriority w:val="0"/>
    <w:rPr>
      <w:kern w:val="2"/>
      <w:sz w:val="18"/>
      <w:szCs w:val="18"/>
    </w:rPr>
  </w:style>
  <w:style w:type="character" w:customStyle="1" w:styleId="20">
    <w:name w:val="页脚 Char"/>
    <w:basedOn w:val="15"/>
    <w:link w:val="9"/>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8</Pages>
  <Words>2195</Words>
  <Characters>2231</Characters>
  <Lines>17</Lines>
  <Paragraphs>4</Paragraphs>
  <TotalTime>83</TotalTime>
  <ScaleCrop>false</ScaleCrop>
  <LinksUpToDate>false</LinksUpToDate>
  <CharactersWithSpaces>2411</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一颗纽扣</cp:lastModifiedBy>
  <cp:lastPrinted>2024-07-17T07:09:00Z</cp:lastPrinted>
  <dcterms:modified xsi:type="dcterms:W3CDTF">2024-07-18T03:50:26Z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KSOSaveFontToCloudKey">
    <vt:lpwstr>0_embed</vt:lpwstr>
  </property>
  <property fmtid="{D5CDD505-2E9C-101B-9397-08002B2CF9AE}" pid="4" name="ICV">
    <vt:lpwstr>B1097BEDCC1C44818105DD5B852EDC8A_13</vt:lpwstr>
  </property>
</Properties>
</file>