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pPr>
        <w:pStyle w:val="12"/>
        <w:keepNext w:val="0"/>
        <w:keepLines w:val="0"/>
        <w:pageBreakBefore w:val="0"/>
        <w:widowControl w:val="0"/>
        <w:kinsoku/>
        <w:wordWrap/>
        <w:overflowPunct/>
        <w:topLinePunct w:val="0"/>
        <w:autoSpaceDE/>
        <w:autoSpaceDN/>
        <w:bidi w:val="0"/>
        <w:adjustRightInd/>
        <w:spacing w:after="0" w:line="560" w:lineRule="exact"/>
        <w:textAlignment w:val="auto"/>
        <w:rPr>
          <w:rFonts w:hint="default" w:hAnsi="方正小标宋_GBK" w:eastAsia="方正小标宋_GBK" w:cs="方正小标宋_GBK"/>
          <w:color w:val="auto"/>
          <w:lang w:val="en-US" w:eastAsia="zh-CN"/>
        </w:rPr>
      </w:pPr>
      <w:r>
        <w:rPr>
          <w:rFonts w:hint="eastAsia" w:hAnsi="方正小标宋_GBK" w:cs="方正小标宋_GBK"/>
          <w:color w:val="auto"/>
          <w:lang w:val="en-US" w:eastAsia="zh-CN"/>
        </w:rPr>
        <w:t>被服存放点改造工程招标公告</w:t>
      </w:r>
    </w:p>
    <w:p>
      <w:pPr>
        <w:jc w:val="center"/>
        <w:rPr>
          <w:rFonts w:hint="eastAsia" w:eastAsia="宋体"/>
          <w:sz w:val="32"/>
          <w:szCs w:val="28"/>
          <w:lang w:eastAsia="zh-CN"/>
        </w:rPr>
      </w:pPr>
      <w:r>
        <w:rPr>
          <w:rFonts w:hint="eastAsia" w:hAnsi="方正小标宋_GBK" w:cs="方正小标宋_GBK"/>
          <w:color w:val="auto"/>
          <w:sz w:val="32"/>
          <w:szCs w:val="28"/>
          <w:lang w:eastAsia="zh-CN"/>
        </w:rPr>
        <w:t>（</w:t>
      </w:r>
      <w:r>
        <w:rPr>
          <w:rFonts w:hint="eastAsia" w:hAnsi="方正小标宋_GBK" w:cs="方正小标宋_GBK"/>
          <w:color w:val="auto"/>
          <w:sz w:val="32"/>
          <w:szCs w:val="28"/>
          <w:lang w:val="en-US" w:eastAsia="zh-CN"/>
        </w:rPr>
        <w:t>第二次</w:t>
      </w:r>
      <w:r>
        <w:rPr>
          <w:rFonts w:hint="eastAsia" w:hAnsi="方正小标宋_GBK" w:cs="方正小标宋_GBK"/>
          <w:color w:val="auto"/>
          <w:sz w:val="32"/>
          <w:szCs w:val="28"/>
          <w:lang w:eastAsia="zh-CN"/>
        </w:rPr>
        <w:t>）</w:t>
      </w: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2"/>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被服存放点改造工程</w:t>
      </w:r>
      <w:r>
        <w:rPr>
          <w:rFonts w:hint="eastAsia" w:ascii="方正仿宋_GBK" w:hAnsi="方正仿宋_GBK" w:eastAsia="方正仿宋_GBK" w:cs="方正仿宋_GBK"/>
          <w:color w:val="auto"/>
          <w:sz w:val="32"/>
          <w:szCs w:val="32"/>
        </w:rPr>
        <w:t>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20日历天。</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（三）工程内容：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施工图和工程量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人民币</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99,800.00</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元（大写：</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玖万玖仟捌佰元整</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11</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四、投标及开标时间、地点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auto"/>
          <w:sz w:val="32"/>
          <w:szCs w:val="32"/>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11</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日14:55；</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11</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仿宋_GBK" w:hAnsi="方正仿宋_GBK" w:eastAsia="方正仿宋_GBK" w:cs="方正仿宋_GBK"/>
          <w:color w:val="000000"/>
          <w:sz w:val="32"/>
          <w:szCs w:val="32"/>
          <w:highlight w:val="none"/>
        </w:rPr>
      </w:pPr>
      <w:r>
        <w:rPr>
          <w:rFonts w:hint="eastAsia" w:ascii="方正仿宋_GBK" w:hAnsi="方正仿宋_GBK" w:eastAsia="方正仿宋_GBK" w:cs="方正仿宋_GBK"/>
          <w:color w:val="000000"/>
          <w:sz w:val="32"/>
          <w:szCs w:val="32"/>
          <w:highlight w:val="none"/>
          <w:lang w:val="en-US" w:eastAsia="zh-CN"/>
        </w:rPr>
        <w:t>建筑工程施工总承包三级及以上资质</w:t>
      </w:r>
      <w:r>
        <w:rPr>
          <w:rFonts w:hint="eastAsia" w:ascii="方正仿宋_GBK" w:hAnsi="方正仿宋_GBK" w:eastAsia="方正仿宋_GBK" w:cs="方正仿宋_GBK"/>
          <w:color w:val="000000"/>
          <w:sz w:val="32"/>
          <w:szCs w:val="32"/>
          <w:highlight w:val="none"/>
        </w:rPr>
        <w:t>。</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5、报价包含但不限于主材、辅材、人工、运输、安全文明措施费、税务等一切费用。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32"/>
          <w:szCs w:val="32"/>
          <w14:textFill>
            <w14:solidFill>
              <w14:schemeClr w14:val="tx1"/>
            </w14:solidFill>
          </w14:textFill>
        </w:rPr>
        <w:t>在</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2023年11</w:t>
      </w:r>
      <w:r>
        <w:rPr>
          <w:rFonts w:hint="eastAsia" w:ascii="方正仿宋_GBK" w:hAnsi="方正仿宋_GBK" w:eastAsia="方正仿宋_GBK" w:cs="方正仿宋_GBK"/>
          <w:color w:val="000000" w:themeColor="text1"/>
          <w:sz w:val="32"/>
          <w:szCs w:val="32"/>
          <w14:textFill>
            <w14:solidFill>
              <w14:schemeClr w14:val="tx1"/>
            </w14:solidFill>
          </w14:textFill>
        </w:rPr>
        <w:t>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32"/>
          <w:szCs w:val="32"/>
          <w14:textFill>
            <w14:solidFill>
              <w14:schemeClr w14:val="tx1"/>
            </w14:solidFill>
          </w14:textFill>
        </w:rPr>
        <w:t>日下午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点前交纳投标保证金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贰仟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w:t>
      </w:r>
      <w:r>
        <w:rPr>
          <w:rFonts w:hint="eastAsia" w:ascii="方正仿宋_GBK" w:hAnsi="方正仿宋_GBK" w:eastAsia="方正仿宋_GBK" w:cs="方正仿宋_GBK"/>
          <w:sz w:val="32"/>
          <w:szCs w:val="32"/>
          <w:lang w:val="en-US" w:eastAsia="zh-CN"/>
        </w:rPr>
        <w:t>被服存放点改造</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竣工</w:t>
      </w:r>
      <w:r>
        <w:rPr>
          <w:rFonts w:hint="eastAsia" w:ascii="方正仿宋_GBK" w:hAnsi="方正仿宋_GBK" w:eastAsia="方正仿宋_GBK" w:cs="方正仿宋_GBK"/>
          <w:color w:val="000000" w:themeColor="text1"/>
          <w:sz w:val="32"/>
          <w:szCs w:val="32"/>
          <w14:textFill>
            <w14:solidFill>
              <w14:schemeClr w14:val="tx1"/>
            </w14:solidFill>
          </w14:textFill>
        </w:rPr>
        <w:t>验收完毕后30个工作日内无息退还。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32"/>
          <w:szCs w:val="32"/>
          <w14:textFill>
            <w14:solidFill>
              <w14:schemeClr w14:val="tx1"/>
            </w14:solidFill>
          </w14:textFill>
        </w:rPr>
        <w:t>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w:t>
      </w:r>
      <w:r>
        <w:rPr>
          <w:rFonts w:hint="eastAsia" w:ascii="方正仿宋_GBK" w:hAnsi="方正仿宋_GBK" w:eastAsia="方正仿宋_GBK" w:cs="方正仿宋_GBK"/>
          <w:color w:val="000000" w:themeColor="text1"/>
          <w:sz w:val="32"/>
          <w:szCs w:val="32"/>
          <w14:textFill>
            <w14:solidFill>
              <w14:schemeClr w14:val="tx1"/>
            </w14:solidFill>
          </w14:textFill>
        </w:rPr>
        <w:t>采取最低价评标法确定成交。即以满足</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项目</w:t>
      </w:r>
      <w:r>
        <w:rPr>
          <w:rFonts w:hint="eastAsia" w:ascii="方正仿宋_GBK" w:hAnsi="方正仿宋_GBK" w:eastAsia="方正仿宋_GBK" w:cs="方正仿宋_GBK"/>
          <w:color w:val="000000" w:themeColor="text1"/>
          <w:sz w:val="32"/>
          <w:szCs w:val="32"/>
          <w14:textFill>
            <w14:solidFill>
              <w14:schemeClr w14:val="tx1"/>
            </w14:solidFill>
          </w14:textFill>
        </w:rPr>
        <w:t>需求的最低报价成交；如果出现两个及以上相同的最低报价，则由</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招标人择优选取中标人</w:t>
      </w:r>
      <w:r>
        <w:rPr>
          <w:rFonts w:hint="eastAsia" w:ascii="方正仿宋_GBK" w:hAnsi="方正仿宋_GBK" w:eastAsia="方正仿宋_GBK" w:cs="方正仿宋_GBK"/>
          <w:color w:val="000000" w:themeColor="text1"/>
          <w:sz w:val="32"/>
          <w:szCs w:val="32"/>
          <w14:textFill>
            <w14:solidFill>
              <w14:schemeClr w14:val="tx1"/>
            </w14:solidFill>
          </w14:textFill>
        </w:rPr>
        <w:t>；投标报价以大写金额为准。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（二）中标人因不可抗拒力或者自身原因不能履行合同的，第二中标候选人可顺延为中标人，以此类推到第三中标候选人。招标人也可重新组织招标。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lang w:val="en-US" w:eastAsia="zh-CN"/>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（三） </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若仅两家单位参与投标，仍采用最低价中标方式评标；若不足两家单位参与投标，则本次招标流标。</w:t>
      </w:r>
    </w:p>
    <w:p>
      <w:pPr>
        <w:pStyle w:val="7"/>
        <w:pageBreakBefore w:val="0"/>
        <w:widowControl w:val="0"/>
        <w:kinsoku/>
        <w:overflowPunct/>
        <w:topLinePunct w:val="0"/>
        <w:bidi w:val="0"/>
        <w:spacing w:line="560" w:lineRule="exact"/>
        <w:textAlignment w:val="auto"/>
        <w:rPr>
          <w:rFonts w:hint="default"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t xml:space="preserve">    七、低价风险金担保</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auto"/>
          <w:sz w:val="32"/>
          <w:szCs w:val="32"/>
          <w:lang w:bidi="ar-SA"/>
        </w:rPr>
        <w:t>投标报价低于最高限价85%的，</w:t>
      </w:r>
      <w:r>
        <w:rPr>
          <w:rFonts w:hint="eastAsia" w:ascii="方正仿宋_GBK" w:hAnsi="方正仿宋_GBK" w:eastAsia="方正仿宋_GBK" w:cs="方正仿宋_GBK"/>
          <w:color w:val="auto"/>
          <w:sz w:val="32"/>
          <w:szCs w:val="32"/>
          <w:lang w:eastAsia="zh-CN" w:bidi="ar-SA"/>
        </w:rPr>
        <w:t>中标人应缴纳</w:t>
      </w:r>
      <w:r>
        <w:rPr>
          <w:rFonts w:hint="eastAsia" w:ascii="方正仿宋_GBK" w:hAnsi="方正仿宋_GBK" w:eastAsia="方正仿宋_GBK" w:cs="方正仿宋_GBK"/>
          <w:b w:val="0"/>
          <w:bCs/>
          <w:color w:val="auto"/>
          <w:sz w:val="32"/>
          <w:szCs w:val="32"/>
        </w:rPr>
        <w:t>低价风险担保</w:t>
      </w:r>
      <w:r>
        <w:rPr>
          <w:rFonts w:hint="eastAsia" w:ascii="方正仿宋_GBK" w:hAnsi="方正仿宋_GBK" w:eastAsia="方正仿宋_GBK" w:cs="方正仿宋_GBK"/>
          <w:b w:val="0"/>
          <w:bCs/>
          <w:color w:val="auto"/>
          <w:sz w:val="32"/>
          <w:szCs w:val="32"/>
          <w:lang w:eastAsia="zh-CN"/>
        </w:rPr>
        <w:t>金，</w:t>
      </w:r>
      <w:r>
        <w:rPr>
          <w:rFonts w:hint="eastAsia" w:ascii="方正仿宋_GBK" w:hAnsi="方正仿宋_GBK" w:eastAsia="方正仿宋_GBK" w:cs="方正仿宋_GBK"/>
          <w:b w:val="0"/>
          <w:bCs/>
          <w:color w:val="auto"/>
          <w:sz w:val="32"/>
          <w:szCs w:val="32"/>
        </w:rPr>
        <w:t>低价风险担保的金额：</w:t>
      </w:r>
      <w:r>
        <w:rPr>
          <w:rFonts w:hint="eastAsia" w:ascii="方正仿宋_GBK" w:hAnsi="方正仿宋_GBK" w:eastAsia="方正仿宋_GBK" w:cs="方正仿宋_GBK"/>
          <w:b w:val="0"/>
          <w:bCs/>
          <w:color w:val="auto"/>
          <w:sz w:val="32"/>
          <w:szCs w:val="32"/>
          <w:u w:val="single"/>
        </w:rPr>
        <w:t>（最高限价×85%-中标价）×3，且最高不超过最高限价的85%；</w:t>
      </w:r>
      <w:r>
        <w:rPr>
          <w:rFonts w:hint="eastAsia" w:ascii="方正仿宋_GBK" w:hAnsi="方正仿宋_GBK" w:eastAsia="方正仿宋_GBK" w:cs="方正仿宋_GBK"/>
          <w:b w:val="0"/>
          <w:bCs/>
          <w:color w:val="auto"/>
          <w:sz w:val="32"/>
          <w:szCs w:val="32"/>
        </w:rPr>
        <w:t>低价风险担保的形式：</w:t>
      </w:r>
      <w:r>
        <w:rPr>
          <w:rFonts w:hint="eastAsia" w:ascii="方正仿宋_GBK" w:hAnsi="方正仿宋_GBK" w:eastAsia="方正仿宋_GBK" w:cs="方正仿宋_GBK"/>
          <w:b w:val="0"/>
          <w:bCs/>
          <w:color w:val="auto"/>
          <w:sz w:val="32"/>
          <w:szCs w:val="32"/>
          <w:u w:val="single"/>
        </w:rPr>
        <w:t>现金或银行保函或现金+银行保函的组合；采用银行保函形式的，保函必须为不可撤销且见索即付；</w:t>
      </w:r>
      <w:r>
        <w:rPr>
          <w:rFonts w:hint="eastAsia" w:ascii="方正仿宋_GBK" w:hAnsi="方正仿宋_GBK" w:eastAsia="方正仿宋_GBK" w:cs="方正仿宋_GBK"/>
          <w:b w:val="0"/>
          <w:bCs/>
          <w:color w:val="auto"/>
          <w:sz w:val="32"/>
          <w:szCs w:val="32"/>
        </w:rPr>
        <w:t>低价风险担保的提交时间：</w:t>
      </w:r>
      <w:r>
        <w:rPr>
          <w:rFonts w:hint="eastAsia" w:ascii="方正仿宋_GBK" w:hAnsi="方正仿宋_GBK" w:eastAsia="方正仿宋_GBK" w:cs="方正仿宋_GBK"/>
          <w:b w:val="0"/>
          <w:bCs/>
          <w:color w:val="auto"/>
          <w:kern w:val="0"/>
          <w:sz w:val="32"/>
          <w:szCs w:val="32"/>
          <w:u w:val="single"/>
        </w:rPr>
        <w:t>从招标人低价风险担保书面通知送达拟中标人之日起10个工作日内；</w:t>
      </w:r>
      <w:r>
        <w:rPr>
          <w:rFonts w:hint="eastAsia" w:ascii="方正仿宋_GBK" w:hAnsi="方正仿宋_GBK" w:eastAsia="方正仿宋_GBK" w:cs="方正仿宋_GBK"/>
          <w:b w:val="0"/>
          <w:bCs/>
          <w:color w:val="auto"/>
          <w:sz w:val="32"/>
          <w:szCs w:val="32"/>
        </w:rPr>
        <w:t>低价风险担保的期限：</w:t>
      </w:r>
      <w:r>
        <w:rPr>
          <w:rFonts w:hint="eastAsia" w:ascii="方正仿宋_GBK" w:hAnsi="方正仿宋_GBK" w:eastAsia="方正仿宋_GBK" w:cs="方正仿宋_GBK"/>
          <w:b w:val="0"/>
          <w:bCs/>
          <w:color w:val="auto"/>
          <w:sz w:val="32"/>
          <w:szCs w:val="32"/>
          <w:u w:val="single"/>
        </w:rPr>
        <w:t>自提交低价风险担保之日起至竣工验收合格且交付日后30日止</w:t>
      </w:r>
      <w:r>
        <w:rPr>
          <w:rFonts w:hint="eastAsia" w:ascii="方正仿宋_GBK" w:hAnsi="方正仿宋_GBK" w:eastAsia="方正仿宋_GBK" w:cs="方正仿宋_GBK"/>
          <w:b w:val="0"/>
          <w:bCs/>
          <w:color w:val="auto"/>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val="0"/>
          <w:snapToGrid w:val="0"/>
          <w:kern w:val="0"/>
          <w:sz w:val="32"/>
          <w:szCs w:val="32"/>
          <w:lang w:eastAsia="zh-CN" w:bidi="ar-SA"/>
        </w:rPr>
      </w:pPr>
      <w:r>
        <w:rPr>
          <w:rFonts w:hint="eastAsia" w:ascii="仿宋_GB2312" w:hAnsi="仿宋_GB2312" w:eastAsia="仿宋_GB2312" w:cs="仿宋_GB2312"/>
          <w:b/>
          <w:bCs w:val="0"/>
          <w:color w:val="auto"/>
          <w:sz w:val="32"/>
          <w:szCs w:val="32"/>
          <w:lang w:val="en-US" w:eastAsia="zh-CN"/>
        </w:rPr>
        <w:t xml:space="preserve">八、 </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合同签订及</w:t>
      </w:r>
      <w:r>
        <w:rPr>
          <w:rFonts w:hint="eastAsia" w:ascii="仿宋_GB2312" w:hAnsi="仿宋_GB2312" w:eastAsia="仿宋_GB2312" w:cs="仿宋_GB2312"/>
          <w:b/>
          <w:bCs w:val="0"/>
          <w:snapToGrid w:val="0"/>
          <w:kern w:val="0"/>
          <w:sz w:val="32"/>
          <w:szCs w:val="32"/>
          <w:lang w:bidi="ar-SA"/>
        </w:rPr>
        <w:t>履约保证金</w:t>
      </w:r>
      <w:r>
        <w:rPr>
          <w:rFonts w:hint="eastAsia" w:ascii="仿宋_GB2312" w:hAnsi="仿宋_GB2312" w:eastAsia="仿宋_GB2312" w:cs="仿宋_GB2312"/>
          <w:b/>
          <w:bCs w:val="0"/>
          <w:snapToGrid w:val="0"/>
          <w:kern w:val="0"/>
          <w:sz w:val="32"/>
          <w:szCs w:val="32"/>
          <w:lang w:eastAsia="zh-CN" w:bidi="ar-SA"/>
        </w:rPr>
        <w:t>缴纳</w:t>
      </w:r>
    </w:p>
    <w:p>
      <w:pPr>
        <w:pStyle w:val="9"/>
        <w:pageBreakBefore w:val="0"/>
        <w:widowControl w:val="0"/>
        <w:kinsoku/>
        <w:overflowPunct/>
        <w:topLinePunct w:val="0"/>
        <w:bidi w:val="0"/>
        <w:snapToGrid w:val="0"/>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中标单位必须在中标通知书发出后5个工作日内，与发包人签订施工合同。履约保证金为合同价的10%，在签订合同前缴纳，履约保证金在工程完工验收合格后全部返还，履约保证金不计息。</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缴纳履约保证金方式：履约保证金通过现金转账或不可撤销的见索即付</w:t>
      </w:r>
      <w:r>
        <w:rPr>
          <w:rFonts w:hint="eastAsia" w:ascii="方正仿宋_GBK" w:hAnsi="方正仿宋_GBK" w:eastAsia="方正仿宋_GBK" w:cs="方正仿宋_GBK"/>
          <w:b/>
          <w:bCs/>
          <w:color w:val="0000FF"/>
          <w:kern w:val="2"/>
          <w:sz w:val="32"/>
          <w:szCs w:val="32"/>
          <w:lang w:val="en-US" w:eastAsia="zh-CN" w:bidi="ar-SA"/>
        </w:rPr>
        <w:t>银行保函</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，现金转账从中标人基本账户提交，不得使用现金进账。</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投标保证金、低价风险保证金、履约保证金缴纳账户：</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收款单位：重庆市江津区中心医院</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开 户 行：重庆农村商业银行江津分行</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账    号：1569010120010004924   </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备注：被服存放点改造工程**保证金</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w:t>
      </w:r>
      <w:r>
        <w:rPr>
          <w:rFonts w:hint="eastAsia" w:ascii="方正仿宋_GBK" w:hAnsi="方正仿宋_GBK" w:eastAsia="方正仿宋_GBK" w:cs="方正仿宋_GBK"/>
          <w:color w:val="000000" w:themeColor="text1"/>
          <w:sz w:val="32"/>
          <w:szCs w:val="32"/>
          <w14:textFill>
            <w14:solidFill>
              <w14:schemeClr w14:val="tx1"/>
            </w14:solidFill>
          </w14:textFill>
        </w:rPr>
        <w:t>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结果公示期内，以书面形式向</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pPr>
        <w:pStyle w:val="9"/>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w:t>
      </w:r>
      <w:r>
        <w:rPr>
          <w:rFonts w:hint="eastAsia" w:ascii="方正仿宋_GBK" w:hAnsi="方正仿宋_GBK" w:eastAsia="方正仿宋_GBK" w:cs="方正仿宋_GBK"/>
          <w:color w:val="auto"/>
          <w:kern w:val="2"/>
          <w:sz w:val="32"/>
          <w:szCs w:val="32"/>
          <w:lang w:val="en-US" w:eastAsia="zh-CN" w:bidi="ar-SA"/>
        </w:rPr>
        <w:t>确承诺：质量保证期不低于2年，所</w:t>
      </w:r>
      <w:r>
        <w:rPr>
          <w:rFonts w:hint="eastAsia" w:ascii="方正仿宋_GBK" w:hAnsi="方正仿宋_GBK" w:eastAsia="方正仿宋_GBK" w:cs="方正仿宋_GBK"/>
          <w:color w:val="000000"/>
          <w:kern w:val="2"/>
          <w:sz w:val="32"/>
          <w:szCs w:val="32"/>
          <w:lang w:val="en-US" w:eastAsia="zh-CN" w:bidi="ar-SA"/>
        </w:rPr>
        <w:t>用材料符合国家标准。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十一</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采用清单计价，固定综合单价。结算综合单价以</w:t>
      </w:r>
      <w:r>
        <w:rPr>
          <w:rFonts w:hint="eastAsia" w:ascii="方正仿宋_GBK" w:hAnsi="方正仿宋_GBK" w:eastAsia="方正仿宋_GBK" w:cs="方正仿宋_GBK"/>
          <w:color w:val="000000"/>
          <w:sz w:val="32"/>
          <w:szCs w:val="32"/>
          <w:lang w:val="en-US" w:eastAsia="zh-CN"/>
        </w:rPr>
        <w:t>承包</w:t>
      </w:r>
      <w:r>
        <w:rPr>
          <w:rFonts w:hint="eastAsia" w:ascii="方正仿宋_GBK" w:hAnsi="方正仿宋_GBK" w:eastAsia="方正仿宋_GBK" w:cs="方正仿宋_GBK"/>
          <w:color w:val="000000"/>
          <w:sz w:val="32"/>
          <w:szCs w:val="32"/>
          <w:lang w:eastAsia="zh-CN"/>
        </w:rPr>
        <w:t>人</w:t>
      </w:r>
      <w:r>
        <w:rPr>
          <w:rFonts w:hint="eastAsia" w:ascii="方正仿宋_GBK" w:hAnsi="方正仿宋_GBK" w:eastAsia="方正仿宋_GBK" w:cs="方正仿宋_GBK"/>
          <w:color w:val="000000"/>
          <w:sz w:val="32"/>
          <w:szCs w:val="32"/>
          <w:lang w:val="en-US" w:eastAsia="zh-CN"/>
        </w:rPr>
        <w:t>投标</w:t>
      </w:r>
      <w:r>
        <w:rPr>
          <w:rFonts w:hint="eastAsia" w:ascii="方正仿宋_GBK" w:hAnsi="方正仿宋_GBK" w:eastAsia="方正仿宋_GBK" w:cs="方正仿宋_GBK"/>
          <w:color w:val="000000"/>
          <w:sz w:val="32"/>
          <w:szCs w:val="32"/>
          <w:lang w:eastAsia="zh-CN"/>
        </w:rPr>
        <w:t>的综合单价计算，工程量按实际完成合格工程量计算。</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结算总价=∑已完工合格</w:t>
      </w:r>
      <w:r>
        <w:rPr>
          <w:rFonts w:hint="eastAsia" w:ascii="方正仿宋_GBK" w:hAnsi="方正仿宋_GBK" w:eastAsia="方正仿宋_GBK" w:cs="方正仿宋_GBK"/>
          <w:color w:val="000000"/>
          <w:sz w:val="32"/>
          <w:szCs w:val="32"/>
          <w:lang w:val="en-US" w:eastAsia="zh-CN"/>
        </w:rPr>
        <w:t>部分</w:t>
      </w:r>
      <w:r>
        <w:rPr>
          <w:rFonts w:hint="eastAsia" w:ascii="方正仿宋_GBK" w:hAnsi="方正仿宋_GBK" w:eastAsia="方正仿宋_GBK" w:cs="方正仿宋_GBK"/>
          <w:color w:val="000000"/>
          <w:sz w:val="32"/>
          <w:szCs w:val="32"/>
          <w:lang w:eastAsia="zh-CN"/>
        </w:rPr>
        <w:t>工程量清单结算价+新增或变更等引起的增（减）结算价+</w:t>
      </w:r>
      <w:r>
        <w:rPr>
          <w:rFonts w:hint="eastAsia" w:ascii="方正仿宋_GBK" w:hAnsi="方正仿宋_GBK" w:eastAsia="方正仿宋_GBK" w:cs="方正仿宋_GBK"/>
          <w:color w:val="000000"/>
          <w:sz w:val="32"/>
          <w:szCs w:val="32"/>
          <w:lang w:val="en-US" w:eastAsia="zh-CN"/>
        </w:rPr>
        <w:t>管理费</w:t>
      </w:r>
      <w:r>
        <w:rPr>
          <w:rFonts w:hint="eastAsia" w:ascii="方正仿宋_GBK" w:hAnsi="方正仿宋_GBK" w:eastAsia="方正仿宋_GBK" w:cs="方正仿宋_GBK"/>
          <w:color w:val="000000"/>
          <w:sz w:val="32"/>
          <w:szCs w:val="32"/>
          <w:lang w:eastAsia="zh-CN"/>
        </w:rPr>
        <w:t>+税金。</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十二</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w:t>
      </w:r>
      <w:r>
        <w:rPr>
          <w:rFonts w:hint="eastAsia" w:ascii="方正仿宋_GBK" w:hAnsi="方正仿宋_GBK" w:eastAsia="方正仿宋_GBK" w:cs="方正仿宋_GBK"/>
          <w:color w:val="000000"/>
          <w:kern w:val="0"/>
          <w:sz w:val="32"/>
          <w:szCs w:val="32"/>
          <w:lang w:val="en-US" w:eastAsia="zh-CN"/>
        </w:rPr>
        <w:t>招标人</w:t>
      </w:r>
      <w:r>
        <w:rPr>
          <w:rFonts w:hint="eastAsia" w:ascii="方正仿宋_GBK" w:hAnsi="方正仿宋_GBK" w:eastAsia="方正仿宋_GBK" w:cs="方正仿宋_GBK"/>
          <w:color w:val="000000"/>
          <w:kern w:val="0"/>
          <w:sz w:val="32"/>
          <w:szCs w:val="32"/>
        </w:rPr>
        <w:t>要求，可拒收。</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工程完工且竣工验收合格后30日内支付至结算总价金额的97%，</w:t>
      </w:r>
      <w:r>
        <w:rPr>
          <w:rFonts w:hint="eastAsia" w:ascii="方正仿宋_GBK" w:hAnsi="方正仿宋_GBK" w:eastAsia="方正仿宋_GBK" w:cs="方正仿宋_GBK"/>
          <w:color w:val="000000"/>
          <w:sz w:val="32"/>
          <w:szCs w:val="32"/>
        </w:rPr>
        <w:t>质保期满后无质量问题30日内无息付清余款。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宋体" w:hAnsi="宋体"/>
          <w:sz w:val="24"/>
          <w:szCs w:val="24"/>
        </w:rPr>
      </w:pPr>
      <w:r>
        <w:rPr>
          <w:rFonts w:hint="eastAsia" w:ascii="方正仿宋_GBK" w:hAnsi="方正仿宋_GBK" w:eastAsia="方正仿宋_GBK" w:cs="方正仿宋_GBK"/>
          <w:sz w:val="32"/>
          <w:szCs w:val="32"/>
        </w:rPr>
        <w:t>附件：总报价表</w:t>
      </w:r>
    </w:p>
    <w:p>
      <w:pPr>
        <w:pStyle w:val="2"/>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jc w:val="righ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2023年11月2日</w:t>
      </w:r>
    </w:p>
    <w:p>
      <w:pPr>
        <w:pStyle w:val="7"/>
        <w:rPr>
          <w:rFonts w:hint="eastAsia" w:ascii="方正小标宋_GBK" w:hAnsi="方正小标宋_GBK" w:eastAsia="方正小标宋_GBK" w:cs="方正小标宋_GBK"/>
          <w:sz w:val="44"/>
          <w:szCs w:val="44"/>
          <w:lang w:eastAsia="zh-CN"/>
        </w:rPr>
      </w:pPr>
      <w:bookmarkStart w:id="0" w:name="_GoBack"/>
      <w:bookmarkEnd w:id="0"/>
    </w:p>
    <w:p>
      <w:pPr>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rPr>
          <w:rFonts w:hint="eastAsia"/>
          <w:lang w:eastAsia="zh-CN"/>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被服存放点改造工程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pacing w:line="560" w:lineRule="exact"/>
        <w:textAlignment w:val="auto"/>
      </w:pPr>
    </w:p>
    <w:p>
      <w:pPr>
        <w:pageBreakBefore w:val="0"/>
        <w:widowControl w:val="0"/>
        <w:kinsoku/>
        <w:overflowPunct/>
        <w:topLinePunct w:val="0"/>
        <w:bidi w:val="0"/>
        <w:spacing w:line="560" w:lineRule="exact"/>
        <w:textAlignment w:val="auto"/>
      </w:pPr>
    </w:p>
    <w:p>
      <w:pPr>
        <w:pStyle w:val="7"/>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pPr>
        <w:pageBreakBefore w:val="0"/>
        <w:widowControl w:val="0"/>
        <w:kinsoku/>
        <w:overflowPunct/>
        <w:topLinePunct w:val="0"/>
        <w:bidi w:val="0"/>
        <w:spacing w:line="560" w:lineRule="exact"/>
        <w:ind w:right="560"/>
        <w:jc w:val="both"/>
        <w:textAlignment w:val="auto"/>
        <w:rPr>
          <w:rFonts w:ascii="方正仿宋_GBK" w:hAnsi="方正仿宋_GBK" w:eastAsia="方正仿宋_GBK" w:cs="方正仿宋_GBK"/>
          <w:b/>
          <w:sz w:val="32"/>
          <w:szCs w:val="32"/>
        </w:rPr>
      </w:pPr>
    </w:p>
    <w:p>
      <w:pPr>
        <w:pStyle w:val="7"/>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7"/>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7"/>
        <w:rPr>
          <w:rFonts w:ascii="方正仿宋_GBK" w:hAnsi="方正仿宋_GBK" w:eastAsia="方正仿宋_GBK" w:cs="方正仿宋_GBK"/>
          <w:b/>
          <w:sz w:val="32"/>
          <w:szCs w:val="32"/>
        </w:rPr>
      </w:pPr>
    </w:p>
    <w:p/>
    <w:p>
      <w:pPr>
        <w:pageBreakBefore w:val="0"/>
        <w:widowControl w:val="0"/>
        <w:kinsoku/>
        <w:overflowPunct/>
        <w:topLinePunct w:val="0"/>
        <w:bidi w:val="0"/>
        <w:spacing w:line="560" w:lineRule="exact"/>
        <w:ind w:right="560"/>
        <w:textAlignment w:val="auto"/>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活动。授权代理人在本次询价</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pPr>
        <w:pageBreakBefore w:val="0"/>
        <w:widowControl w:val="0"/>
        <w:kinsoku/>
        <w:overflowPunct/>
        <w:topLinePunct w:val="0"/>
        <w:bidi w:val="0"/>
        <w:spacing w:line="560" w:lineRule="exact"/>
        <w:textAlignment w:val="auto"/>
      </w:pPr>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p>
      <w:pPr>
        <w:pStyle w:val="5"/>
        <w:pageBreakBefore w:val="0"/>
        <w:widowControl w:val="0"/>
        <w:kinsoku/>
        <w:overflowPunct/>
        <w:topLinePunct w:val="0"/>
        <w:bidi w:val="0"/>
        <w:spacing w:before="0" w:after="0" w:line="560" w:lineRule="exact"/>
        <w:textAlignment w:val="auto"/>
      </w:pPr>
    </w:p>
    <w:p>
      <w:pPr>
        <w:pStyle w:val="6"/>
        <w:pageBreakBefore w:val="0"/>
        <w:widowControl w:val="0"/>
        <w:kinsoku/>
        <w:overflowPunct/>
        <w:topLinePunct w:val="0"/>
        <w:bidi w:val="0"/>
        <w:spacing w:line="560" w:lineRule="exact"/>
        <w:ind w:left="0" w:leftChars="0" w:firstLine="0" w:firstLineChars="0"/>
        <w:textAlignment w:val="auto"/>
      </w:pPr>
    </w:p>
    <w:p>
      <w:pPr>
        <w:pStyle w:val="7"/>
        <w:pageBreakBefore w:val="0"/>
        <w:widowControl w:val="0"/>
        <w:kinsoku/>
        <w:overflowPunct/>
        <w:topLinePunct w:val="0"/>
        <w:bidi w:val="0"/>
        <w:spacing w:line="480" w:lineRule="exact"/>
        <w:jc w:val="center"/>
        <w:textAlignment w:val="auto"/>
        <w:rPr>
          <w:rFonts w:ascii="宋体" w:hAnsi="宋体" w:cs="宋体"/>
          <w:b w:val="0"/>
          <w:bCs w:val="0"/>
          <w:color w:val="auto"/>
        </w:rPr>
      </w:pPr>
      <w:r>
        <w:rPr>
          <w:rFonts w:hint="eastAsia" w:ascii="宋体" w:hAnsi="宋体" w:cs="宋体"/>
          <w:b w:val="0"/>
          <w:bCs w:val="0"/>
          <w:color w:val="auto"/>
          <w:lang w:eastAsia="zh-CN"/>
        </w:rPr>
        <w:t>（</w:t>
      </w:r>
      <w:r>
        <w:rPr>
          <w:rFonts w:hint="eastAsia" w:ascii="宋体" w:hAnsi="宋体" w:cs="宋体"/>
          <w:b w:val="0"/>
          <w:bCs w:val="0"/>
          <w:color w:val="auto"/>
        </w:rPr>
        <w:t>四）低价风险担保提交承诺书</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r>
        <w:rPr>
          <w:rFonts w:hint="eastAsia" w:ascii="宋体" w:hAnsi="宋体" w:cs="宋体"/>
          <w:snapToGrid w:val="0"/>
          <w:color w:val="auto"/>
          <w:kern w:val="0"/>
          <w:sz w:val="32"/>
          <w:szCs w:val="32"/>
        </w:rPr>
        <w:t>（投标报价低于招标项目最高限价的85%时采用）</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textAlignment w:val="auto"/>
        <w:rPr>
          <w:rFonts w:ascii="宋体" w:hAnsi="宋体" w:cs="宋体"/>
          <w:snapToGrid w:val="0"/>
          <w:color w:val="auto"/>
          <w:kern w:val="0"/>
          <w:szCs w:val="21"/>
        </w:rPr>
      </w:pPr>
      <w:r>
        <w:rPr>
          <w:rFonts w:hint="eastAsia" w:ascii="宋体" w:hAnsi="宋体" w:cs="宋体"/>
          <w:snapToGrid w:val="0"/>
          <w:color w:val="auto"/>
          <w:kern w:val="0"/>
          <w:szCs w:val="21"/>
          <w:u w:val="single"/>
        </w:rPr>
        <w:t xml:space="preserve">        （招标人名称）</w:t>
      </w:r>
      <w:r>
        <w:rPr>
          <w:rFonts w:hint="eastAsia" w:ascii="宋体" w:hAnsi="宋体" w:cs="宋体"/>
          <w:snapToGrid w:val="0"/>
          <w:color w:val="auto"/>
          <w:kern w:val="0"/>
          <w:szCs w:val="21"/>
        </w:rPr>
        <w:t>：</w:t>
      </w:r>
    </w:p>
    <w:p>
      <w:pPr>
        <w:pageBreakBefore w:val="0"/>
        <w:widowControl w:val="0"/>
        <w:kinsoku/>
        <w:overflowPunct/>
        <w:topLinePunct w:val="0"/>
        <w:autoSpaceDE w:val="0"/>
        <w:autoSpaceDN w:val="0"/>
        <w:bidi w:val="0"/>
        <w:adjustRightInd w:val="0"/>
        <w:snapToGrid w:val="0"/>
        <w:spacing w:line="480" w:lineRule="exact"/>
        <w:ind w:firstLine="420" w:firstLineChars="200"/>
        <w:textAlignment w:val="auto"/>
        <w:rPr>
          <w:rFonts w:ascii="宋体" w:hAnsi="宋体" w:cs="宋体"/>
          <w:snapToGrid w:val="0"/>
          <w:color w:val="auto"/>
          <w:kern w:val="0"/>
          <w:szCs w:val="21"/>
        </w:rPr>
      </w:pPr>
      <w:r>
        <w:rPr>
          <w:rFonts w:hint="eastAsia" w:ascii="宋体" w:hAnsi="宋体" w:cs="宋体"/>
          <w:snapToGrid w:val="0"/>
          <w:color w:val="auto"/>
          <w:kern w:val="0"/>
          <w:szCs w:val="21"/>
        </w:rPr>
        <w:t>我公司</w:t>
      </w:r>
      <w:r>
        <w:rPr>
          <w:rFonts w:hint="eastAsia" w:ascii="宋体" w:hAnsi="宋体" w:cs="宋体"/>
          <w:snapToGrid w:val="0"/>
          <w:color w:val="auto"/>
          <w:kern w:val="0"/>
          <w:szCs w:val="21"/>
          <w:u w:val="single"/>
        </w:rPr>
        <w:t xml:space="preserve">        （投标人名称）</w:t>
      </w:r>
      <w:r>
        <w:rPr>
          <w:rFonts w:hint="eastAsia" w:ascii="宋体" w:hAnsi="宋体" w:cs="宋体"/>
          <w:snapToGrid w:val="0"/>
          <w:color w:val="auto"/>
          <w:kern w:val="0"/>
          <w:szCs w:val="21"/>
        </w:rPr>
        <w:t>参加了你单位</w:t>
      </w:r>
      <w:r>
        <w:rPr>
          <w:rFonts w:hint="eastAsia" w:ascii="宋体" w:hAnsi="宋体" w:cs="宋体"/>
          <w:snapToGrid w:val="0"/>
          <w:color w:val="auto"/>
          <w:kern w:val="0"/>
          <w:szCs w:val="21"/>
          <w:u w:val="single"/>
        </w:rPr>
        <w:t xml:space="preserve">        （项目名称）</w:t>
      </w:r>
      <w:r>
        <w:rPr>
          <w:rFonts w:hint="eastAsia" w:ascii="宋体" w:hAnsi="宋体" w:cs="宋体"/>
          <w:snapToGrid w:val="0"/>
          <w:color w:val="auto"/>
          <w:kern w:val="0"/>
          <w:szCs w:val="21"/>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r>
        <w:rPr>
          <w:rFonts w:hint="eastAsia" w:ascii="宋体" w:hAnsi="宋体" w:cs="宋体"/>
          <w:snapToGrid w:val="0"/>
          <w:color w:val="auto"/>
          <w:kern w:val="0"/>
          <w:szCs w:val="21"/>
        </w:rPr>
        <w:t>特此承诺。</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tabs>
          <w:tab w:val="left" w:pos="4200"/>
          <w:tab w:val="left" w:pos="462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投  标  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w:t>
      </w:r>
      <w:r>
        <w:rPr>
          <w:rFonts w:hint="eastAsia" w:ascii="宋体" w:hAnsi="宋体" w:cs="宋体"/>
          <w:color w:val="auto"/>
          <w:spacing w:val="-1"/>
          <w:kern w:val="0"/>
          <w:szCs w:val="21"/>
        </w:rPr>
        <w:t>盖单位法人章</w:t>
      </w:r>
      <w:r>
        <w:rPr>
          <w:rFonts w:hint="eastAsia" w:ascii="宋体" w:hAnsi="宋体" w:cs="宋体"/>
          <w:color w:val="auto"/>
          <w:kern w:val="0"/>
          <w:szCs w:val="21"/>
        </w:rPr>
        <w:t>）</w:t>
      </w:r>
    </w:p>
    <w:p>
      <w:pPr>
        <w:pageBreakBefore w:val="0"/>
        <w:widowControl w:val="0"/>
        <w:tabs>
          <w:tab w:val="left" w:pos="630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法定代表人：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（签名或盖章）</w:t>
      </w:r>
    </w:p>
    <w:p>
      <w:pPr>
        <w:pageBreakBefore w:val="0"/>
        <w:widowControl w:val="0"/>
        <w:tabs>
          <w:tab w:val="left" w:pos="7140"/>
          <w:tab w:val="left" w:pos="7560"/>
          <w:tab w:val="left" w:pos="8300"/>
        </w:tabs>
        <w:kinsoku/>
        <w:overflowPunct/>
        <w:topLinePunct w:val="0"/>
        <w:autoSpaceDE w:val="0"/>
        <w:autoSpaceDN w:val="0"/>
        <w:bidi w:val="0"/>
        <w:adjustRightInd w:val="0"/>
        <w:spacing w:line="480" w:lineRule="exact"/>
        <w:ind w:firstLine="420" w:firstLineChars="200"/>
        <w:textAlignment w:val="auto"/>
        <w:rPr>
          <w:rFonts w:ascii="宋体" w:hAnsi="宋体" w:cs="宋体"/>
          <w:snapToGrid w:val="0"/>
          <w:color w:val="auto"/>
          <w:kern w:val="0"/>
          <w:szCs w:val="21"/>
        </w:rPr>
      </w:pPr>
    </w:p>
    <w:p>
      <w:pPr>
        <w:pageBreakBefore w:val="0"/>
        <w:widowControl w:val="0"/>
        <w:tabs>
          <w:tab w:val="left" w:pos="3840"/>
          <w:tab w:val="left" w:pos="4780"/>
          <w:tab w:val="left" w:pos="5720"/>
        </w:tabs>
        <w:kinsoku/>
        <w:overflowPunct/>
        <w:topLinePunct w:val="0"/>
        <w:autoSpaceDE w:val="0"/>
        <w:autoSpaceDN w:val="0"/>
        <w:bidi w:val="0"/>
        <w:adjustRightInd w:val="0"/>
        <w:snapToGrid w:val="0"/>
        <w:spacing w:line="480" w:lineRule="exact"/>
        <w:ind w:right="420" w:firstLine="5565" w:firstLineChars="2650"/>
        <w:jc w:val="right"/>
        <w:textAlignment w:val="auto"/>
        <w:rPr>
          <w:rFonts w:ascii="宋体" w:hAnsi="宋体" w:cs="宋体"/>
          <w:snapToGrid w:val="0"/>
          <w:color w:val="auto"/>
          <w:kern w:val="0"/>
          <w:szCs w:val="21"/>
        </w:rPr>
      </w:pP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低价风险担保保函示范文本</w:t>
      </w: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（独立保函）</w:t>
      </w:r>
    </w:p>
    <w:p>
      <w:pPr>
        <w:pageBreakBefore w:val="0"/>
        <w:widowControl w:val="0"/>
        <w:kinsoku/>
        <w:wordWrap w:val="0"/>
        <w:overflowPunct/>
        <w:topLinePunct w:val="0"/>
        <w:bidi w:val="0"/>
        <w:spacing w:line="480" w:lineRule="exact"/>
        <w:jc w:val="right"/>
        <w:textAlignment w:val="auto"/>
        <w:rPr>
          <w:rFonts w:ascii="宋体" w:hAnsi="宋体" w:cs="宋体"/>
          <w:color w:val="auto"/>
          <w:szCs w:val="21"/>
        </w:rPr>
      </w:pPr>
      <w:r>
        <w:rPr>
          <w:rFonts w:hint="eastAsia" w:ascii="宋体" w:hAnsi="宋体" w:cs="宋体"/>
          <w:color w:val="auto"/>
          <w:szCs w:val="21"/>
        </w:rPr>
        <w:t xml:space="preserve">编号：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申请人：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开立人：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w:t>
      </w:r>
    </w:p>
    <w:p>
      <w:pPr>
        <w:pageBreakBefore w:val="0"/>
        <w:widowControl w:val="0"/>
        <w:kinsoku/>
        <w:overflowPunct/>
        <w:topLinePunct w:val="0"/>
        <w:bidi w:val="0"/>
        <w:spacing w:line="480" w:lineRule="exact"/>
        <w:textAlignment w:val="auto"/>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 xml:space="preserve">（受益人名称）： </w:t>
      </w:r>
    </w:p>
    <w:p>
      <w:pPr>
        <w:pStyle w:val="8"/>
        <w:pageBreakBefore w:val="0"/>
        <w:widowControl w:val="0"/>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鉴于</w:t>
      </w:r>
      <w:r>
        <w:rPr>
          <w:rFonts w:hint="eastAsia" w:ascii="宋体" w:hAnsi="宋体" w:cs="宋体"/>
          <w:color w:val="auto"/>
          <w:szCs w:val="21"/>
          <w:u w:val="single"/>
        </w:rPr>
        <w:t xml:space="preserve">            </w:t>
      </w:r>
      <w:r>
        <w:rPr>
          <w:rFonts w:hint="eastAsia" w:ascii="宋体" w:hAnsi="宋体" w:cs="宋体"/>
          <w:color w:val="auto"/>
          <w:szCs w:val="21"/>
        </w:rPr>
        <w:t xml:space="preserve">（以下简称“申请人”）于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日参加</w:t>
      </w:r>
      <w:r>
        <w:rPr>
          <w:rFonts w:hint="eastAsia" w:ascii="宋体" w:hAnsi="宋体" w:cs="宋体"/>
          <w:color w:val="auto"/>
          <w:szCs w:val="21"/>
          <w:u w:val="single"/>
        </w:rPr>
        <w:t xml:space="preserve">            </w:t>
      </w:r>
      <w:r>
        <w:rPr>
          <w:rFonts w:hint="eastAsia" w:ascii="宋体" w:hAnsi="宋体" w:cs="宋体"/>
          <w:color w:val="auto"/>
          <w:szCs w:val="21"/>
        </w:rPr>
        <w:t>（以下简称“受益人”）的</w:t>
      </w:r>
      <w:r>
        <w:rPr>
          <w:rFonts w:hint="eastAsia" w:ascii="宋体" w:hAnsi="宋体" w:cs="宋体"/>
          <w:color w:val="auto"/>
          <w:szCs w:val="21"/>
          <w:u w:val="single"/>
        </w:rPr>
        <w:t xml:space="preserve">         </w:t>
      </w:r>
      <w:r>
        <w:rPr>
          <w:rFonts w:hint="eastAsia" w:ascii="宋体" w:hAnsi="宋体" w:cs="宋体"/>
          <w:color w:val="auto"/>
          <w:szCs w:val="21"/>
        </w:rPr>
        <w:t>（项目名称）的投标，收到受益人于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pPr>
        <w:pStyle w:val="8"/>
        <w:pageBreakBefore w:val="0"/>
        <w:widowControl w:val="0"/>
        <w:numPr>
          <w:ilvl w:val="0"/>
          <w:numId w:val="2"/>
        </w:numPr>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二、本保函担保金额最高不超过人民币（大写）</w:t>
      </w:r>
      <w:r>
        <w:rPr>
          <w:rFonts w:hint="eastAsia" w:ascii="宋体" w:hAnsi="宋体" w:cs="宋体"/>
          <w:color w:val="auto"/>
          <w:szCs w:val="21"/>
          <w:u w:val="single"/>
        </w:rPr>
        <w:t xml:space="preserve">          </w:t>
      </w:r>
      <w:r>
        <w:rPr>
          <w:rFonts w:hint="eastAsia" w:ascii="宋体" w:hAnsi="宋体" w:cs="宋体"/>
          <w:color w:val="auto"/>
          <w:szCs w:val="21"/>
        </w:rPr>
        <w:t>元（¥</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三、本保函有效期自开立之日起至合同约定的</w:t>
      </w:r>
      <w:r>
        <w:rPr>
          <w:rFonts w:hint="eastAsia" w:ascii="宋体" w:hAnsi="宋体" w:cs="宋体"/>
          <w:color w:val="auto"/>
          <w:szCs w:val="21"/>
          <w:u w:val="single"/>
        </w:rPr>
        <w:t xml:space="preserve">      </w:t>
      </w:r>
      <w:r>
        <w:rPr>
          <w:rFonts w:hint="eastAsia" w:ascii="宋体" w:hAnsi="宋体" w:cs="宋体"/>
          <w:color w:val="auto"/>
          <w:szCs w:val="21"/>
        </w:rPr>
        <w:t>日止，最迟不超过</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 xml:space="preserve">日。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四、我方承诺，在收到受益人发来的书面付款通知后的</w:t>
      </w:r>
      <w:r>
        <w:rPr>
          <w:rFonts w:hint="eastAsia" w:ascii="宋体" w:hAnsi="宋体" w:cs="宋体"/>
          <w:color w:val="auto"/>
          <w:szCs w:val="21"/>
          <w:u w:val="single"/>
        </w:rPr>
        <w:t xml:space="preserve">    </w:t>
      </w:r>
      <w:r>
        <w:rPr>
          <w:rFonts w:hint="eastAsia" w:ascii="宋体" w:hAnsi="宋体" w:cs="宋体"/>
          <w:color w:val="auto"/>
          <w:szCs w:val="21"/>
        </w:rPr>
        <w:t>工作日内无条件支付，前述书面付款通知即为付款要求之单据，且应满足以下要求：</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（1）付款通知到达的日期在本保函的有效期内；</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（2）载明要求支付的金额；</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u w:val="single"/>
        </w:rPr>
      </w:pPr>
      <w:r>
        <w:rPr>
          <w:rFonts w:hint="eastAsia" w:ascii="宋体" w:hAnsi="宋体" w:cs="宋体"/>
          <w:color w:val="auto"/>
          <w:szCs w:val="21"/>
        </w:rPr>
        <w:t>（3）载明申请人未按照中标通知书、招标文件和投标文件约定签订合同或违反合同义务的条款和内容；</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（4）付款通知中应声明不存在招标文件约定、合同文件约定或我国法律规定免除申请人或开立人支付责任的情形；</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（5）付款通知应在本保函有效期内到达的地址是：</w:t>
      </w:r>
      <w:r>
        <w:rPr>
          <w:rFonts w:hint="eastAsia" w:ascii="宋体" w:hAnsi="宋体" w:cs="宋体"/>
          <w:color w:val="auto"/>
          <w:szCs w:val="21"/>
          <w:u w:val="single"/>
        </w:rPr>
        <w:t xml:space="preserve">             </w:t>
      </w:r>
      <w:r>
        <w:rPr>
          <w:rFonts w:hint="eastAsia" w:ascii="宋体" w:hAnsi="宋体" w:cs="宋体"/>
          <w:color w:val="auto"/>
          <w:szCs w:val="21"/>
        </w:rPr>
        <w:t>。</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受益人发出的书面付款通知应由其为鉴明受益人法定代表人（负责人）或授权代理人签名加盖公章。</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五、本保函项下的权利不得转让，不得设定担保。贵方未经我方书面同意转让本保函或其项下任何权利，对我方不发生法律效力。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六、与本保函有关的合同不成立、不生效、无效、被撤销、被解除，不影响本保函的独立有效。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七、贵方应在本保函到期后的七个工作日内将本保函正本退回我方注销，但是不论贵方是否按此要求将本保函正本退回我方，我方在本保函项下的义务和责任均在保函有效期到期后自动消灭。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八、本保函适用的法律为中华人民共和国法律，争议裁判管辖地为中华人民共和国</w:t>
      </w:r>
      <w:r>
        <w:rPr>
          <w:rFonts w:hint="eastAsia"/>
          <w:b/>
          <w:bCs/>
          <w:color w:val="auto"/>
          <w:u w:val="single"/>
        </w:rPr>
        <w:t>重庆市江津区人民法院</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九、本保函自我方法定代表人或授权代表签名并加盖公章之日起生效。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开 立 人：                              （公章）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法定代表人（或授权代表）：              （签名）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地    址：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邮政编码：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电    话：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传    真：                 </w:t>
      </w:r>
    </w:p>
    <w:p>
      <w:pPr>
        <w:pageBreakBefore w:val="0"/>
        <w:widowControl w:val="0"/>
        <w:kinsoku/>
        <w:overflowPunct/>
        <w:topLinePunct w:val="0"/>
        <w:bidi w:val="0"/>
        <w:spacing w:line="480" w:lineRule="exact"/>
        <w:ind w:firstLine="420" w:firstLineChars="200"/>
        <w:textAlignment w:val="auto"/>
      </w:pPr>
      <w:r>
        <w:rPr>
          <w:rFonts w:hint="eastAsia" w:ascii="宋体" w:hAnsi="宋体" w:cs="宋体"/>
          <w:color w:val="auto"/>
          <w:szCs w:val="21"/>
        </w:rPr>
        <w:t>开立时间：      年      月      日</w:t>
      </w: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046A2D2-AA61-4A2F-83F6-420C2AB2A011}"/>
  </w:font>
  <w:font w:name="Arial">
    <w:panose1 w:val="020B0604020202020204"/>
    <w:charset w:val="01"/>
    <w:family w:val="swiss"/>
    <w:pitch w:val="default"/>
    <w:sig w:usb0="E0002EFF" w:usb1="C000785B" w:usb2="00000009" w:usb3="00000000" w:csb0="400001FF" w:csb1="FFFF0000"/>
    <w:embedRegular r:id="rId2" w:fontKey="{50E4F62C-2D7F-4901-B427-14B82B727EB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13D7779-664E-46FF-9178-1F6DC3DBA878}"/>
  </w:font>
  <w:font w:name="Symbol">
    <w:panose1 w:val="05050102010706020507"/>
    <w:charset w:val="02"/>
    <w:family w:val="roman"/>
    <w:pitch w:val="default"/>
    <w:sig w:usb0="00000000" w:usb1="00000000" w:usb2="00000000" w:usb3="00000000" w:csb0="80000000" w:csb1="00000000"/>
    <w:embedRegular r:id="rId4" w:fontKey="{C8DFB60E-EA42-499D-9AB4-3847AA304751}"/>
  </w:font>
  <w:font w:name="Calibri">
    <w:panose1 w:val="020F0502020204030204"/>
    <w:charset w:val="00"/>
    <w:family w:val="swiss"/>
    <w:pitch w:val="default"/>
    <w:sig w:usb0="E4002EFF" w:usb1="C000247B" w:usb2="00000009" w:usb3="00000000" w:csb0="200001FF" w:csb1="00000000"/>
    <w:embedRegular r:id="rId5" w:fontKey="{68ECE473-8A03-4465-B021-7634C84B2C18}"/>
  </w:font>
  <w:font w:name="方正小标宋_GBK">
    <w:panose1 w:val="03000509000000000000"/>
    <w:charset w:val="86"/>
    <w:family w:val="script"/>
    <w:pitch w:val="default"/>
    <w:sig w:usb0="00000001" w:usb1="080E0000" w:usb2="00000000" w:usb3="00000000" w:csb0="00040000" w:csb1="00000000"/>
    <w:embedRegular r:id="rId6" w:fontKey="{02A0555F-9AB3-454A-855A-E6A6C5048CA0}"/>
  </w:font>
  <w:font w:name="方正仿宋_GBK">
    <w:panose1 w:val="03000509000000000000"/>
    <w:charset w:val="86"/>
    <w:family w:val="script"/>
    <w:pitch w:val="default"/>
    <w:sig w:usb0="00000001" w:usb1="080E0000" w:usb2="00000000" w:usb3="00000000" w:csb0="00040000" w:csb1="00000000"/>
    <w:embedRegular r:id="rId7" w:fontKey="{4442A178-3BDB-4DE0-9B75-D0FF79AE15ED}"/>
  </w:font>
  <w:font w:name="方正黑体_GBK">
    <w:panose1 w:val="03000509000000000000"/>
    <w:charset w:val="86"/>
    <w:family w:val="auto"/>
    <w:pitch w:val="default"/>
    <w:sig w:usb0="00000001" w:usb1="080E0000" w:usb2="00000000" w:usb3="00000000" w:csb0="00040000" w:csb1="00000000"/>
    <w:embedRegular r:id="rId8" w:fontKey="{A2857F71-8DE8-4347-8955-F4DCDC414496}"/>
  </w:font>
  <w:font w:name="方正楷体_GBK">
    <w:panose1 w:val="03000509000000000000"/>
    <w:charset w:val="86"/>
    <w:family w:val="auto"/>
    <w:pitch w:val="default"/>
    <w:sig w:usb0="00000001" w:usb1="080E0000" w:usb2="00000000" w:usb3="00000000" w:csb0="00040000" w:csb1="00000000"/>
    <w:embedRegular r:id="rId9" w:fontKey="{038742A9-776F-4044-B0DD-049DFC3671AA}"/>
  </w:font>
  <w:font w:name="仿宋_GB2312">
    <w:panose1 w:val="02010609030101010101"/>
    <w:charset w:val="86"/>
    <w:family w:val="auto"/>
    <w:pitch w:val="default"/>
    <w:sig w:usb0="00000001" w:usb1="080E0000" w:usb2="00000000" w:usb3="00000000" w:csb0="00040000" w:csb1="00000000"/>
    <w:embedRegular r:id="rId10" w:fontKey="{67F2B02A-9C0B-4EC1-B293-2C0150BFC8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E38E8"/>
    <w:multiLevelType w:val="singleLevel"/>
    <w:tmpl w:val="418E38E8"/>
    <w:lvl w:ilvl="0" w:tentative="0">
      <w:start w:val="1"/>
      <w:numFmt w:val="chineseCounting"/>
      <w:suff w:val="nothing"/>
      <w:lvlText w:val="%1、"/>
      <w:lvlJc w:val="left"/>
      <w:rPr>
        <w:rFonts w:hint="eastAsia"/>
      </w:rPr>
    </w:lvl>
  </w:abstractNum>
  <w:abstractNum w:abstractNumId="1">
    <w:nsid w:val="61027DAC"/>
    <w:multiLevelType w:val="singleLevel"/>
    <w:tmpl w:val="61027DAC"/>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xZjU1ZWIwOTc1ZmEzMTAyNWFkZjAxOGI1YjlhZTUifQ=="/>
  </w:docVars>
  <w:rsids>
    <w:rsidRoot w:val="03332EB3"/>
    <w:rsid w:val="00011E80"/>
    <w:rsid w:val="00665268"/>
    <w:rsid w:val="00D0142F"/>
    <w:rsid w:val="00FE5428"/>
    <w:rsid w:val="03332EB3"/>
    <w:rsid w:val="03FF6DF9"/>
    <w:rsid w:val="05945C3A"/>
    <w:rsid w:val="05D15B9D"/>
    <w:rsid w:val="0610233B"/>
    <w:rsid w:val="064062E0"/>
    <w:rsid w:val="06D74AC1"/>
    <w:rsid w:val="07500F14"/>
    <w:rsid w:val="08AE463F"/>
    <w:rsid w:val="08EE34C4"/>
    <w:rsid w:val="0A481E7F"/>
    <w:rsid w:val="0AD60CA4"/>
    <w:rsid w:val="0C2318B1"/>
    <w:rsid w:val="0E7268E2"/>
    <w:rsid w:val="0F2E5FF4"/>
    <w:rsid w:val="0F9E0C6E"/>
    <w:rsid w:val="0FE34B24"/>
    <w:rsid w:val="1091497C"/>
    <w:rsid w:val="11993735"/>
    <w:rsid w:val="120C48A9"/>
    <w:rsid w:val="13ED0243"/>
    <w:rsid w:val="1450409E"/>
    <w:rsid w:val="1545661B"/>
    <w:rsid w:val="16D6318F"/>
    <w:rsid w:val="18540606"/>
    <w:rsid w:val="18577EAB"/>
    <w:rsid w:val="18BA385F"/>
    <w:rsid w:val="18C13709"/>
    <w:rsid w:val="18CE005B"/>
    <w:rsid w:val="191F5BC5"/>
    <w:rsid w:val="197F1AF0"/>
    <w:rsid w:val="1A7F50EE"/>
    <w:rsid w:val="1B7A0209"/>
    <w:rsid w:val="1B9F4A50"/>
    <w:rsid w:val="1C4B1BED"/>
    <w:rsid w:val="1CBA09E0"/>
    <w:rsid w:val="1CBB4424"/>
    <w:rsid w:val="1EE06A35"/>
    <w:rsid w:val="1EE54A1C"/>
    <w:rsid w:val="1F537BE3"/>
    <w:rsid w:val="20120B73"/>
    <w:rsid w:val="207646E6"/>
    <w:rsid w:val="212156C5"/>
    <w:rsid w:val="21257BAF"/>
    <w:rsid w:val="213046C5"/>
    <w:rsid w:val="21960612"/>
    <w:rsid w:val="22626F9A"/>
    <w:rsid w:val="256C742F"/>
    <w:rsid w:val="279C4C63"/>
    <w:rsid w:val="27CA6F34"/>
    <w:rsid w:val="27E37A44"/>
    <w:rsid w:val="27E87326"/>
    <w:rsid w:val="28C40FEC"/>
    <w:rsid w:val="29792067"/>
    <w:rsid w:val="297E4E1A"/>
    <w:rsid w:val="298224D3"/>
    <w:rsid w:val="298A1DCB"/>
    <w:rsid w:val="299C661E"/>
    <w:rsid w:val="29DA0EE3"/>
    <w:rsid w:val="2A207AB5"/>
    <w:rsid w:val="2C5D1370"/>
    <w:rsid w:val="2CD0252A"/>
    <w:rsid w:val="2DA03BFD"/>
    <w:rsid w:val="2E162CCE"/>
    <w:rsid w:val="2E58772F"/>
    <w:rsid w:val="30EA240B"/>
    <w:rsid w:val="31390FE4"/>
    <w:rsid w:val="320E32D0"/>
    <w:rsid w:val="322A0923"/>
    <w:rsid w:val="34096C85"/>
    <w:rsid w:val="34677F57"/>
    <w:rsid w:val="35354A9D"/>
    <w:rsid w:val="36303843"/>
    <w:rsid w:val="36E84CE9"/>
    <w:rsid w:val="39D3282F"/>
    <w:rsid w:val="3AD35451"/>
    <w:rsid w:val="3B5A26B8"/>
    <w:rsid w:val="3C191852"/>
    <w:rsid w:val="3C3A3BC9"/>
    <w:rsid w:val="3CE237B8"/>
    <w:rsid w:val="3DA87B2D"/>
    <w:rsid w:val="3F616DF0"/>
    <w:rsid w:val="40BF76D7"/>
    <w:rsid w:val="41CD365F"/>
    <w:rsid w:val="42860788"/>
    <w:rsid w:val="42B350D5"/>
    <w:rsid w:val="43B94CFB"/>
    <w:rsid w:val="43F4232E"/>
    <w:rsid w:val="44F9230D"/>
    <w:rsid w:val="45454C75"/>
    <w:rsid w:val="484E1E1A"/>
    <w:rsid w:val="49E90EF8"/>
    <w:rsid w:val="4A775D8E"/>
    <w:rsid w:val="4B8A77D8"/>
    <w:rsid w:val="4BA4739C"/>
    <w:rsid w:val="4BCE66ED"/>
    <w:rsid w:val="4C0040D9"/>
    <w:rsid w:val="4D382B66"/>
    <w:rsid w:val="4D5F6288"/>
    <w:rsid w:val="4DD41075"/>
    <w:rsid w:val="4EDC695F"/>
    <w:rsid w:val="4F5E0F7B"/>
    <w:rsid w:val="4FDC1DE0"/>
    <w:rsid w:val="501E7837"/>
    <w:rsid w:val="51607356"/>
    <w:rsid w:val="52D73128"/>
    <w:rsid w:val="552A1F58"/>
    <w:rsid w:val="56252678"/>
    <w:rsid w:val="56AA29EF"/>
    <w:rsid w:val="58692C7C"/>
    <w:rsid w:val="588F19E9"/>
    <w:rsid w:val="58B76826"/>
    <w:rsid w:val="5A3C02BD"/>
    <w:rsid w:val="5AC14CC9"/>
    <w:rsid w:val="5B5922D0"/>
    <w:rsid w:val="5BFC0F33"/>
    <w:rsid w:val="5CCE423B"/>
    <w:rsid w:val="5EE01F7F"/>
    <w:rsid w:val="5F4F24CB"/>
    <w:rsid w:val="60012BC1"/>
    <w:rsid w:val="60801A70"/>
    <w:rsid w:val="61924E8A"/>
    <w:rsid w:val="63124CDC"/>
    <w:rsid w:val="631D7976"/>
    <w:rsid w:val="64303EEF"/>
    <w:rsid w:val="64456F89"/>
    <w:rsid w:val="649A666F"/>
    <w:rsid w:val="64B6646F"/>
    <w:rsid w:val="652C3B8A"/>
    <w:rsid w:val="657F3B1C"/>
    <w:rsid w:val="660F2D0D"/>
    <w:rsid w:val="66B568B9"/>
    <w:rsid w:val="68924A06"/>
    <w:rsid w:val="68CA264C"/>
    <w:rsid w:val="6A0A06FD"/>
    <w:rsid w:val="6AAD39E3"/>
    <w:rsid w:val="6B953E2D"/>
    <w:rsid w:val="6C7C2AE3"/>
    <w:rsid w:val="6D1E1C67"/>
    <w:rsid w:val="6DF65370"/>
    <w:rsid w:val="6F330095"/>
    <w:rsid w:val="6F34510F"/>
    <w:rsid w:val="7004069D"/>
    <w:rsid w:val="7016107E"/>
    <w:rsid w:val="70D65141"/>
    <w:rsid w:val="7157226A"/>
    <w:rsid w:val="71B1340F"/>
    <w:rsid w:val="71E65719"/>
    <w:rsid w:val="724E11C4"/>
    <w:rsid w:val="72BF3F35"/>
    <w:rsid w:val="74531C85"/>
    <w:rsid w:val="74CC55F1"/>
    <w:rsid w:val="758E2041"/>
    <w:rsid w:val="75ED18FB"/>
    <w:rsid w:val="76E06DC0"/>
    <w:rsid w:val="78076B8B"/>
    <w:rsid w:val="7857653C"/>
    <w:rsid w:val="78AE3721"/>
    <w:rsid w:val="78BF668E"/>
    <w:rsid w:val="79C14725"/>
    <w:rsid w:val="7A784C94"/>
    <w:rsid w:val="7B5743F5"/>
    <w:rsid w:val="7BAA4F23"/>
    <w:rsid w:val="7BDD5DCA"/>
    <w:rsid w:val="7C590BDF"/>
    <w:rsid w:val="7D8A4D92"/>
    <w:rsid w:val="7E7B3435"/>
    <w:rsid w:val="7EB069CB"/>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next w:val="1"/>
    <w:unhideWhenUsed/>
    <w:qFormat/>
    <w:uiPriority w:val="99"/>
    <w:pPr>
      <w:spacing w:after="120"/>
    </w:pPr>
  </w:style>
  <w:style w:type="paragraph" w:styleId="9">
    <w:name w:val="Plain Text"/>
    <w:basedOn w:val="1"/>
    <w:next w:val="1"/>
    <w:qFormat/>
    <w:uiPriority w:val="0"/>
    <w:pPr>
      <w:widowControl w:val="0"/>
      <w:jc w:val="both"/>
    </w:pPr>
    <w:rPr>
      <w:rFonts w:ascii="宋体" w:eastAsia="宋体" w:cs="Times New Roman"/>
      <w:kern w:val="2"/>
      <w:sz w:val="21"/>
      <w:lang w:val="en-US" w:eastAsia="zh-CN" w:bidi="ar-SA"/>
    </w:rPr>
  </w:style>
  <w:style w:type="paragraph" w:styleId="10">
    <w:name w:val="footer"/>
    <w:basedOn w:val="1"/>
    <w:link w:val="19"/>
    <w:qFormat/>
    <w:uiPriority w:val="0"/>
    <w:pPr>
      <w:tabs>
        <w:tab w:val="center" w:pos="4153"/>
        <w:tab w:val="right" w:pos="8306"/>
      </w:tabs>
      <w:snapToGrid w:val="0"/>
      <w:jc w:val="left"/>
    </w:pPr>
    <w:rPr>
      <w:sz w:val="18"/>
      <w:szCs w:val="18"/>
    </w:rPr>
  </w:style>
  <w:style w:type="paragraph" w:styleId="11">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2">
    <w:name w:val="Title"/>
    <w:basedOn w:val="8"/>
    <w:next w:val="1"/>
    <w:qFormat/>
    <w:uiPriority w:val="0"/>
    <w:pPr>
      <w:spacing w:line="560" w:lineRule="exact"/>
      <w:jc w:val="center"/>
    </w:pPr>
    <w:rPr>
      <w:rFonts w:ascii="方正小标宋_GBK" w:eastAsia="方正小标宋_GBK"/>
      <w:color w:val="000000"/>
      <w:sz w:val="44"/>
      <w:szCs w:val="44"/>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annotation reference"/>
    <w:qFormat/>
    <w:uiPriority w:val="0"/>
    <w:rPr>
      <w:sz w:val="21"/>
      <w:szCs w:val="21"/>
    </w:rPr>
  </w:style>
  <w:style w:type="paragraph" w:customStyle="1" w:styleId="17">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8">
    <w:name w:val="页眉 Char"/>
    <w:basedOn w:val="15"/>
    <w:link w:val="11"/>
    <w:qFormat/>
    <w:uiPriority w:val="0"/>
    <w:rPr>
      <w:kern w:val="2"/>
      <w:sz w:val="18"/>
      <w:szCs w:val="18"/>
    </w:rPr>
  </w:style>
  <w:style w:type="character" w:customStyle="1" w:styleId="19">
    <w:name w:val="页脚 Char"/>
    <w:basedOn w:val="15"/>
    <w:link w:val="10"/>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12</Pages>
  <Words>3777</Words>
  <Characters>3874</Characters>
  <Lines>17</Lines>
  <Paragraphs>4</Paragraphs>
  <TotalTime>46</TotalTime>
  <ScaleCrop>false</ScaleCrop>
  <LinksUpToDate>false</LinksUpToDate>
  <CharactersWithSpaces>4482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小丫头ジ</cp:lastModifiedBy>
  <cp:lastPrinted>2023-04-03T02:54:00Z</cp:lastPrinted>
  <dcterms:modified xsi:type="dcterms:W3CDTF">2023-11-01T03:38:01Z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0_embed</vt:lpwstr>
  </property>
  <property fmtid="{D5CDD505-2E9C-101B-9397-08002B2CF9AE}" pid="4" name="ICV">
    <vt:lpwstr>96C2FF1B8597428CA99A215BE4B9BBB3_13</vt:lpwstr>
  </property>
</Properties>
</file>